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26DB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C8CE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一、供应商须提供证明材料</w:t>
      </w:r>
    </w:p>
    <w:p w14:paraId="3385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1、营业执照及基本开户证明（复印件加盖公章）；</w:t>
      </w:r>
    </w:p>
    <w:p w14:paraId="4173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2、法定代表人授权委托书或提供法定代表人身份证明书；</w:t>
      </w:r>
    </w:p>
    <w:p w14:paraId="14726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3、报价表</w:t>
      </w:r>
    </w:p>
    <w:p w14:paraId="1909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二、供应商须满足以下要求</w:t>
      </w:r>
    </w:p>
    <w:p w14:paraId="53C1D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1、付款方式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签订合同后，成交商开具全额发票，采购人支付合同金额的30%预付款，合同正常履行满6个月支付合同金额的20%，合同履行满1年验收合格后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无息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支付剩余金额。</w:t>
      </w:r>
    </w:p>
    <w:p w14:paraId="084D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2、最高限价及报价说明：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本项目控制价为最高限价，报价超过最高限价按无效处理；报价包括</w:t>
      </w:r>
      <w:r>
        <w:rPr>
          <w:rFonts w:hint="eastAsia" w:ascii="宋体" w:hAnsi="宋体" w:eastAsia="宋体" w:cs="宋体"/>
          <w:sz w:val="24"/>
        </w:rPr>
        <w:t>包含技术咨询、技术培训、服务质量反馈</w:t>
      </w:r>
      <w:r>
        <w:rPr>
          <w:rFonts w:hint="eastAsia" w:ascii="宋体" w:hAnsi="宋体" w:eastAsia="宋体" w:cs="宋体"/>
          <w:sz w:val="24"/>
          <w:lang w:eastAsia="zh-CN"/>
        </w:rPr>
        <w:t>、交通费</w:t>
      </w:r>
      <w:r>
        <w:rPr>
          <w:rFonts w:hint="eastAsia"/>
          <w:color w:val="auto"/>
          <w:sz w:val="24"/>
          <w:szCs w:val="24"/>
          <w:highlight w:val="none"/>
        </w:rPr>
        <w:t>、售后服务、税金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等</w:t>
      </w:r>
      <w:r>
        <w:rPr>
          <w:color w:val="auto"/>
          <w:sz w:val="24"/>
          <w:szCs w:val="24"/>
          <w:highlight w:val="none"/>
        </w:rPr>
        <w:t>所需的一切费用。</w:t>
      </w:r>
    </w:p>
    <w:p w14:paraId="6A6BE82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3、服务期：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一年。</w:t>
      </w:r>
    </w:p>
    <w:p w14:paraId="49CD3DC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4、服务内容</w:t>
      </w:r>
    </w:p>
    <w:tbl>
      <w:tblPr>
        <w:tblStyle w:val="9"/>
        <w:tblW w:w="8789" w:type="dxa"/>
        <w:tblInd w:w="-11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417"/>
        <w:gridCol w:w="3686"/>
        <w:gridCol w:w="1559"/>
        <w:gridCol w:w="1701"/>
      </w:tblGrid>
      <w:tr w14:paraId="767968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24F9ECA7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895B1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服务项目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59364AB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服务内容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289C4E4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服务方式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A5357B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响应时间</w:t>
            </w:r>
          </w:p>
        </w:tc>
      </w:tr>
      <w:tr w14:paraId="23375D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2AB40CC7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AFA58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系统咨询服务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542E9D2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系统软件功能的应用咨询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310EDAF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微信、电话、电子邮箱、网络远程、QQ等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B7B4EF5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30分钟内响应</w:t>
            </w:r>
          </w:p>
        </w:tc>
      </w:tr>
      <w:tr w14:paraId="207F2B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1E125726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60C58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系统故障排除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346702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系统在日常应用过程中的错误，提供协助查询、排除故障，保障系统正常运行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E6085CE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微信、电话、电子邮箱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网络远程、QQ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7F9EDA6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1小时内响应</w:t>
            </w:r>
          </w:p>
        </w:tc>
      </w:tr>
      <w:tr w14:paraId="4152F3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9B86825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802BEF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病历模板及报表维护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F27600C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对现有病历模板格式、数据调整、修改丰富</w:t>
            </w:r>
          </w:p>
          <w:p w14:paraId="4A223728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对现有报表格式、数据调整、修改丰富；</w:t>
            </w:r>
          </w:p>
          <w:p w14:paraId="1DAAD060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协助临床增加新的病历模板及基于现有数据提供</w:t>
            </w:r>
            <w:r>
              <w:rPr>
                <w:rFonts w:ascii="宋体" w:hAnsi="宋体"/>
                <w:bCs/>
                <w:color w:val="000000"/>
                <w:szCs w:val="21"/>
              </w:rPr>
              <w:t>新的报表查询服务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08BA5B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2E219D7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</w:tc>
      </w:tr>
      <w:tr w14:paraId="4D587C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65BD659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C3AD047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系统需求变更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754F341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对于</w:t>
            </w:r>
            <w:r>
              <w:rPr>
                <w:rFonts w:ascii="宋体" w:hAnsi="宋体"/>
                <w:bCs/>
                <w:color w:val="000000"/>
                <w:szCs w:val="21"/>
              </w:rPr>
              <w:t>现在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应用模块范围内的功能需求提供调整、修改、</w:t>
            </w:r>
            <w:r>
              <w:rPr>
                <w:rFonts w:ascii="宋体" w:hAnsi="宋体"/>
                <w:bCs/>
                <w:color w:val="000000"/>
                <w:szCs w:val="21"/>
              </w:rPr>
              <w:t>维护服务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104FF0C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7B9418D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</w:tc>
      </w:tr>
      <w:tr w14:paraId="43EAE2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8CEA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C6B2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系统日常维护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09184C4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协助医院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建立日常维护记录，定期与医院系统管理人员共同检查系统运行情况，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定期与临床使用科室沟通系统使用运行情况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99F0E7A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5FB056F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</w:tc>
      </w:tr>
      <w:tr w14:paraId="678FF4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29C1F4C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br w:type="page"/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A69ABAE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服务项目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2EC22D3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服务内容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800F914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服务方式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8605AFF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响应时间</w:t>
            </w:r>
          </w:p>
        </w:tc>
      </w:tr>
      <w:tr w14:paraId="79629D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BD15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8315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系统数据恢复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C3575CC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因甲方操作不当或其它原因导致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病历中数据丢失，协助甲方系统维护人员恢复病历数据。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79A07C5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电话、电子邮箱、网络远程、QQ、</w:t>
            </w:r>
            <w:r>
              <w:rPr>
                <w:rFonts w:ascii="宋体" w:hAnsi="宋体"/>
                <w:color w:val="000000"/>
                <w:szCs w:val="21"/>
              </w:rPr>
              <w:t>现场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F562A6C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  <w:p w14:paraId="0B28CBD7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</w:t>
            </w:r>
            <w:r>
              <w:rPr>
                <w:rFonts w:ascii="宋体" w:hAnsi="宋体"/>
                <w:color w:val="000000"/>
                <w:szCs w:val="21"/>
              </w:rPr>
              <w:t>远程解决不了</w:t>
            </w:r>
            <w:r>
              <w:rPr>
                <w:rFonts w:hint="eastAsia" w:ascii="宋体" w:hAnsi="宋体"/>
                <w:color w:val="000000"/>
                <w:szCs w:val="21"/>
              </w:rPr>
              <w:t>24小时</w:t>
            </w:r>
            <w:r>
              <w:rPr>
                <w:rFonts w:ascii="宋体" w:hAnsi="宋体"/>
                <w:color w:val="000000"/>
                <w:szCs w:val="21"/>
              </w:rPr>
              <w:t>内到现场</w:t>
            </w:r>
          </w:p>
        </w:tc>
      </w:tr>
      <w:tr w14:paraId="54FE34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57333CE7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4470D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系统数据调整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616B576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因甲方操作不当或其它原因造成患者数据出现部分或全部错误，协助甲方系统维护人员进行数据调整。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FA5E750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电话、电子邮箱网络远程、QQ、现场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3DF5E93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  <w:p w14:paraId="3AA7B252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</w:t>
            </w:r>
            <w:r>
              <w:rPr>
                <w:rFonts w:ascii="宋体" w:hAnsi="宋体"/>
                <w:color w:val="000000"/>
                <w:szCs w:val="21"/>
              </w:rPr>
              <w:t>远程解决不了</w:t>
            </w:r>
            <w:r>
              <w:rPr>
                <w:rFonts w:hint="eastAsia" w:ascii="宋体" w:hAnsi="宋体"/>
                <w:color w:val="000000"/>
                <w:szCs w:val="21"/>
              </w:rPr>
              <w:t>24小时</w:t>
            </w:r>
            <w:r>
              <w:rPr>
                <w:rFonts w:ascii="宋体" w:hAnsi="宋体"/>
                <w:color w:val="000000"/>
                <w:szCs w:val="21"/>
              </w:rPr>
              <w:t>内到现场</w:t>
            </w:r>
          </w:p>
        </w:tc>
      </w:tr>
      <w:tr w14:paraId="364B6B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3723BDF2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AB777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特殊服务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9D462A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系统灾难发生时，乙方承诺立即响应，减少数据损失，降低灾难对整个系统正常运行的影响。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99B5DD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电话、电子邮箱、网络远程、QQ、现场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3E2BBD3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立即响应</w:t>
            </w:r>
          </w:p>
        </w:tc>
      </w:tr>
      <w:tr w14:paraId="2ED364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8564044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br w:type="page"/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C21EE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服务项目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DE8E43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服务内容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048246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服务方式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9067A6B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响应时间</w:t>
            </w:r>
          </w:p>
        </w:tc>
      </w:tr>
      <w:tr w14:paraId="2FAE4D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7EBF6C1A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A3137D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系统管理培训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B2F6791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对甲方管理人员或相关负责人进行系统的管理思想、管理流程统一培训。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4A5189E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按甲方需求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CAE314E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法定工作日预约</w:t>
            </w:r>
          </w:p>
        </w:tc>
      </w:tr>
      <w:tr w14:paraId="3FDCD9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CD0DA14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034AFFDF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系统维护培训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F46AFE0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因甲方人员离职或岗位调动需要进行培训的系统维护人员。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5D6287B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按甲方需求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3DBA3B8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法定工作日预约</w:t>
            </w:r>
          </w:p>
        </w:tc>
      </w:tr>
      <w:tr w14:paraId="0DE1D7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4A668CA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0F0EF22A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临床</w:t>
            </w:r>
            <w:r>
              <w:rPr>
                <w:rFonts w:ascii="宋体" w:hAnsi="宋体"/>
                <w:bCs/>
                <w:color w:val="000000"/>
                <w:szCs w:val="21"/>
              </w:rPr>
              <w:t>应用培训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B6CF47F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可</w:t>
            </w:r>
            <w:r>
              <w:rPr>
                <w:rFonts w:ascii="宋体" w:hAnsi="宋体"/>
                <w:color w:val="000000"/>
                <w:szCs w:val="21"/>
              </w:rPr>
              <w:t>按照甲方要求定期提供临床医生、</w:t>
            </w:r>
            <w:r>
              <w:rPr>
                <w:rFonts w:hint="eastAsia" w:ascii="宋体" w:hAnsi="宋体"/>
                <w:color w:val="000000"/>
                <w:szCs w:val="21"/>
              </w:rPr>
              <w:t>技师</w:t>
            </w:r>
            <w:r>
              <w:rPr>
                <w:rFonts w:ascii="宋体" w:hAnsi="宋体"/>
                <w:color w:val="000000"/>
                <w:szCs w:val="21"/>
              </w:rPr>
              <w:t>的系统</w:t>
            </w:r>
            <w:r>
              <w:rPr>
                <w:rFonts w:hint="eastAsia" w:ascii="宋体" w:hAnsi="宋体"/>
                <w:color w:val="000000"/>
                <w:szCs w:val="21"/>
              </w:rPr>
              <w:t>操作</w:t>
            </w:r>
            <w:r>
              <w:rPr>
                <w:rFonts w:ascii="宋体" w:hAnsi="宋体"/>
                <w:color w:val="000000"/>
                <w:szCs w:val="21"/>
              </w:rPr>
              <w:t>培训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DEC91AA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按甲方需求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79D0551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法定工作日预约</w:t>
            </w:r>
          </w:p>
        </w:tc>
      </w:tr>
      <w:tr w14:paraId="6F5B7B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168FA4F7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1FB85F7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巡检服务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F321F01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到甲方现场检查系统模块运行情况，与甲方维护人员沟通，提供常见问题的解决办法，巡检结束后给甲方提供巡检报告。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0DC68F7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每年2次、甲方现场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2B3B275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法定工作日预约</w:t>
            </w:r>
          </w:p>
        </w:tc>
      </w:tr>
      <w:tr w14:paraId="64F7E6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3A56A54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1BECEC5D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热线服务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B346913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提供与软件系统相关的咨询服务及建立系统维护制度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4AFEE12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电话、电子邮箱网络远程、QQ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C4CFF3A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法定工作日</w:t>
            </w:r>
          </w:p>
        </w:tc>
      </w:tr>
      <w:tr w14:paraId="43A6BD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1564F165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C8D6ABC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问题解答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8448D3B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解答系统疑难问题。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8EAEF98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电话、电子邮箱网络远程、QQ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7F667EC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法定工作日</w:t>
            </w:r>
          </w:p>
        </w:tc>
      </w:tr>
      <w:tr w14:paraId="3ACC5A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770B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CE2B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系统升级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A3C1420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保证系统稳定，进行系统各模块版本功能升级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DDCD48F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网络远程、QQ、现场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BD34FFD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法定工作日、需要时</w:t>
            </w:r>
          </w:p>
        </w:tc>
      </w:tr>
    </w:tbl>
    <w:p w14:paraId="0523B86E">
      <w:pPr>
        <w:pStyle w:val="8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AC22C46">
      <w:pPr>
        <w:pStyle w:val="8"/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服务要求</w:t>
      </w:r>
    </w:p>
    <w:p w14:paraId="6A4C1C85">
      <w:pPr>
        <w:pStyle w:val="12"/>
        <w:numPr>
          <w:ilvl w:val="0"/>
          <w:numId w:val="0"/>
        </w:numPr>
        <w:autoSpaceDE w:val="0"/>
        <w:autoSpaceDN w:val="0"/>
        <w:adjustRightInd w:val="0"/>
        <w:spacing w:before="156" w:beforeLines="50" w:after="156" w:afterLines="50" w:line="360" w:lineRule="auto"/>
        <w:ind w:leftChars="-200" w:firstLine="422" w:firstLineChars="200"/>
        <w:rPr>
          <w:rFonts w:ascii="宋体" w:hAnsi="宋体"/>
          <w:b/>
          <w:color w:val="000000"/>
          <w:szCs w:val="21"/>
          <w:lang w:val="zh-CN"/>
        </w:rPr>
      </w:pPr>
      <w:r>
        <w:rPr>
          <w:rFonts w:hint="eastAsia" w:ascii="宋体" w:hAnsi="宋体"/>
          <w:b/>
          <w:color w:val="000000"/>
          <w:szCs w:val="21"/>
          <w:lang w:val="zh-CN"/>
        </w:rPr>
        <w:t>（一）远程</w:t>
      </w:r>
      <w:r>
        <w:rPr>
          <w:rFonts w:ascii="宋体" w:hAnsi="宋体"/>
          <w:b/>
          <w:color w:val="000000"/>
          <w:szCs w:val="21"/>
          <w:lang w:val="zh-CN"/>
        </w:rPr>
        <w:t>服务</w:t>
      </w:r>
    </w:p>
    <w:p w14:paraId="30242B33">
      <w:pPr>
        <w:pStyle w:val="12"/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szCs w:val="21"/>
          <w:lang w:val="zh-CN"/>
        </w:rPr>
      </w:pPr>
      <w:r>
        <w:rPr>
          <w:rFonts w:hint="eastAsia" w:ascii="宋体" w:hAnsi="宋体"/>
          <w:color w:val="000000"/>
          <w:szCs w:val="21"/>
          <w:lang w:val="zh-CN"/>
        </w:rPr>
        <w:t>通过</w:t>
      </w:r>
      <w:r>
        <w:rPr>
          <w:rFonts w:hint="eastAsia" w:ascii="宋体" w:hAnsi="宋体"/>
          <w:color w:val="000000"/>
          <w:szCs w:val="21"/>
          <w:lang w:val="en-US" w:eastAsia="zh-CN"/>
        </w:rPr>
        <w:t>现场、</w:t>
      </w:r>
      <w:r>
        <w:rPr>
          <w:rFonts w:hint="eastAsia" w:ascii="宋体" w:hAnsi="宋体"/>
          <w:color w:val="000000"/>
          <w:szCs w:val="21"/>
          <w:lang w:val="zh-CN"/>
        </w:rPr>
        <w:t>微信</w:t>
      </w:r>
      <w:r>
        <w:rPr>
          <w:rFonts w:ascii="宋体" w:hAnsi="宋体"/>
          <w:color w:val="000000"/>
          <w:szCs w:val="21"/>
          <w:lang w:val="zh-CN"/>
        </w:rPr>
        <w:t>、</w:t>
      </w:r>
      <w:r>
        <w:rPr>
          <w:rFonts w:hint="eastAsia" w:ascii="宋体" w:hAnsi="宋体"/>
          <w:color w:val="000000"/>
          <w:szCs w:val="21"/>
        </w:rPr>
        <w:t>电话、电子邮箱、网络远程、QQ等方式，乙方提供以下服务：</w:t>
      </w:r>
    </w:p>
    <w:p w14:paraId="769A0490">
      <w:pPr>
        <w:pStyle w:val="12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提供软件功能的应用咨询，包括功能使用、功能配置、功能设置等；</w:t>
      </w:r>
    </w:p>
    <w:p w14:paraId="0DADFBA1">
      <w:pPr>
        <w:pStyle w:val="12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协助查找、排除甲方在软件应用过程中出现功能错误及表1.1中的模块的故障，保证系统功能正常运行</w:t>
      </w:r>
      <w:r>
        <w:rPr>
          <w:rFonts w:hint="eastAsia" w:ascii="宋体" w:hAnsi="宋体"/>
          <w:color w:val="000000"/>
          <w:szCs w:val="21"/>
          <w:lang w:eastAsia="zh-CN"/>
        </w:rPr>
        <w:t>；</w:t>
      </w:r>
    </w:p>
    <w:p w14:paraId="669B17F1">
      <w:pPr>
        <w:pStyle w:val="12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协助甲方进行现有工作报表格式、数据调整、修改；</w:t>
      </w:r>
    </w:p>
    <w:p w14:paraId="66F26B30">
      <w:pPr>
        <w:pStyle w:val="12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协助甲方从系统现有数据中修改系统自带报表，新增报表数据超出本系统外，需要从第三方系统（HIS、LIS、PACS等）中获取数据时，乙方需要第三方人员配合完成新增报表的设置，甲乙双方需要协商签定补充合同，乙方按补充合同完成相应工作；</w:t>
      </w:r>
      <w:r>
        <w:rPr>
          <w:rFonts w:ascii="宋体" w:hAnsi="宋体"/>
          <w:color w:val="000000"/>
          <w:szCs w:val="21"/>
        </w:rPr>
        <w:t xml:space="preserve"> </w:t>
      </w:r>
    </w:p>
    <w:p w14:paraId="7D070D31">
      <w:pPr>
        <w:pStyle w:val="12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提供已应用模块范围内的功能需求调整、修改，因甲方需求改变引起的现有系统功能范围内的调整与修改完善（不包括涉及系统整体结构及模块结构改变的需求），并提供详细的文档说明和相关资料； </w:t>
      </w:r>
    </w:p>
    <w:p w14:paraId="1291FB34">
      <w:pPr>
        <w:pStyle w:val="12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协助甲方建立日常维护记录，定期与甲方系统管理人员共同检查系统运行情况，并形成系统维护记录制度和系统管理规范，</w:t>
      </w:r>
      <w:r>
        <w:rPr>
          <w:rFonts w:hint="eastAsia" w:ascii="宋体" w:hAnsi="宋体"/>
          <w:color w:val="000000"/>
          <w:szCs w:val="21"/>
          <w:lang w:val="en-US" w:eastAsia="zh-CN"/>
        </w:rPr>
        <w:t>及时</w:t>
      </w:r>
      <w:r>
        <w:rPr>
          <w:rFonts w:hint="eastAsia" w:ascii="宋体" w:hAnsi="宋体"/>
          <w:color w:val="000000"/>
          <w:szCs w:val="21"/>
        </w:rPr>
        <w:t>与甲方技术人员讨论甲方信息系统运行中存在的问题以及解决方法。</w:t>
      </w:r>
    </w:p>
    <w:p w14:paraId="055EAAAC">
      <w:pPr>
        <w:pStyle w:val="12"/>
        <w:numPr>
          <w:ilvl w:val="0"/>
          <w:numId w:val="0"/>
        </w:numPr>
        <w:autoSpaceDE w:val="0"/>
        <w:autoSpaceDN w:val="0"/>
        <w:adjustRightInd w:val="0"/>
        <w:spacing w:before="156" w:beforeLines="50" w:after="156" w:afterLines="50" w:line="360" w:lineRule="auto"/>
        <w:ind w:leftChars="-200"/>
        <w:rPr>
          <w:rFonts w:ascii="宋体" w:hAnsi="宋体"/>
          <w:b/>
          <w:color w:val="000000"/>
          <w:szCs w:val="21"/>
          <w:lang w:val="zh-CN"/>
        </w:rPr>
      </w:pPr>
      <w:r>
        <w:rPr>
          <w:rFonts w:hint="eastAsia" w:ascii="宋体" w:hAnsi="宋体"/>
          <w:b/>
          <w:color w:val="000000"/>
          <w:szCs w:val="21"/>
          <w:lang w:val="zh-CN"/>
        </w:rPr>
        <w:t>（二）数据维护</w:t>
      </w:r>
    </w:p>
    <w:p w14:paraId="1BC6457B">
      <w:pPr>
        <w:pStyle w:val="12"/>
        <w:autoSpaceDE w:val="0"/>
        <w:autoSpaceDN w:val="0"/>
        <w:adjustRightInd w:val="0"/>
        <w:spacing w:line="360" w:lineRule="auto"/>
        <w:ind w:left="424" w:leftChars="202" w:firstLine="0" w:firstLineChars="0"/>
        <w:jc w:val="left"/>
        <w:rPr>
          <w:rFonts w:ascii="宋体" w:hAnsi="宋体"/>
          <w:color w:val="000000"/>
          <w:szCs w:val="21"/>
          <w:lang w:val="zh-CN"/>
        </w:rPr>
      </w:pPr>
      <w:r>
        <w:rPr>
          <w:rFonts w:hint="eastAsia" w:ascii="宋体" w:hAnsi="宋体"/>
          <w:color w:val="000000"/>
          <w:szCs w:val="21"/>
          <w:lang w:val="zh-CN"/>
        </w:rPr>
        <w:t>通过</w:t>
      </w:r>
      <w:r>
        <w:rPr>
          <w:rFonts w:hint="eastAsia" w:ascii="宋体" w:hAnsi="宋体"/>
          <w:color w:val="000000"/>
          <w:szCs w:val="21"/>
        </w:rPr>
        <w:t>电话、电子邮箱、网络远程、QQ、必要时现场维护等方式，乙方提供以下服务：</w:t>
      </w:r>
    </w:p>
    <w:p w14:paraId="20642D9E">
      <w:pPr>
        <w:pStyle w:val="12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  <w:lang w:val="zh-CN"/>
        </w:rPr>
      </w:pPr>
      <w:r>
        <w:rPr>
          <w:rFonts w:hint="eastAsia" w:ascii="宋体" w:hAnsi="宋体"/>
          <w:color w:val="000000"/>
          <w:szCs w:val="21"/>
          <w:lang w:val="zh-CN"/>
        </w:rPr>
        <w:t>提供数据恢复服务，因甲方操作不当或其它原因导致病历中数据丢失，</w:t>
      </w:r>
      <w:r>
        <w:rPr>
          <w:rFonts w:hint="eastAsia" w:ascii="宋体" w:hAnsi="宋体"/>
          <w:bCs/>
          <w:color w:val="000000"/>
          <w:szCs w:val="21"/>
        </w:rPr>
        <w:t>协助甲方系统维护人员查找原因，恢复病历数据。</w:t>
      </w:r>
    </w:p>
    <w:p w14:paraId="3E36C723">
      <w:pPr>
        <w:pStyle w:val="12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  <w:lang w:val="zh-CN"/>
        </w:rPr>
      </w:pPr>
      <w:r>
        <w:rPr>
          <w:rFonts w:hint="eastAsia" w:ascii="宋体" w:hAnsi="宋体"/>
          <w:color w:val="000000"/>
          <w:szCs w:val="21"/>
          <w:lang w:val="zh-CN"/>
        </w:rPr>
        <w:t>提供数据调整服务，因甲方操作不当或其它原因造成患者数据出现部分或全部错误，协助甲方系统维护人员查找原因，并对错误数据进行调整。</w:t>
      </w:r>
    </w:p>
    <w:p w14:paraId="56826128">
      <w:pPr>
        <w:pStyle w:val="12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  <w:lang w:val="zh-CN"/>
        </w:rPr>
      </w:pPr>
      <w:r>
        <w:rPr>
          <w:rFonts w:hint="eastAsia" w:ascii="宋体" w:hAnsi="宋体"/>
          <w:color w:val="000000"/>
          <w:szCs w:val="21"/>
          <w:lang w:val="zh-CN"/>
        </w:rPr>
        <w:t>提供灾难解决办法，系统灾难发生时，乙方承诺立即响应，必要时人员以最快速度到达现场，以减少数据损失，降低灾难对整个系统正常运行的影响。</w:t>
      </w:r>
    </w:p>
    <w:p w14:paraId="62D61465">
      <w:pPr>
        <w:pStyle w:val="12"/>
        <w:numPr>
          <w:ilvl w:val="0"/>
          <w:numId w:val="0"/>
        </w:numPr>
        <w:autoSpaceDE w:val="0"/>
        <w:autoSpaceDN w:val="0"/>
        <w:adjustRightInd w:val="0"/>
        <w:spacing w:before="156" w:beforeLines="50" w:after="156" w:afterLines="50" w:line="360" w:lineRule="auto"/>
        <w:ind w:leftChars="-200"/>
        <w:rPr>
          <w:rFonts w:ascii="宋体" w:hAnsi="宋体"/>
          <w:b/>
          <w:color w:val="000000"/>
          <w:szCs w:val="21"/>
          <w:lang w:val="zh-CN"/>
        </w:rPr>
      </w:pPr>
      <w:r>
        <w:rPr>
          <w:rFonts w:hint="eastAsia" w:ascii="宋体" w:hAnsi="宋体"/>
          <w:b/>
          <w:color w:val="000000"/>
          <w:szCs w:val="21"/>
          <w:lang w:val="zh-CN"/>
        </w:rPr>
        <w:t>（三）其他服务</w:t>
      </w:r>
    </w:p>
    <w:p w14:paraId="49D950DD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  <w:lang w:val="zh-CN"/>
        </w:rPr>
      </w:pPr>
      <w:r>
        <w:rPr>
          <w:rFonts w:hint="eastAsia" w:ascii="宋体" w:hAnsi="宋体"/>
          <w:color w:val="000000"/>
          <w:szCs w:val="21"/>
        </w:rPr>
        <w:t>乙方提供系统管理培训服务，根据甲方需求，可对甲方的高级管理人员或全权负责人，以及各岗位计算机管理系统维护管理人员进行岗前的技术培训。了解软件系统内包含的管理思想、管理流程。（注：到乙方指定的地点参加培训）培训地点由甲方乙方商定</w:t>
      </w:r>
      <w:r>
        <w:rPr>
          <w:rFonts w:hint="eastAsia" w:ascii="宋体" w:hAnsi="宋体"/>
          <w:color w:val="000000"/>
          <w:szCs w:val="21"/>
          <w:lang w:eastAsia="zh-CN"/>
        </w:rPr>
        <w:t>；</w:t>
      </w:r>
    </w:p>
    <w:p w14:paraId="310016E3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乙方提供系统维护培训服务，包括甲方人员离职、岗位调动、系统维护人员上岗前的培训。（注：到乙方指定的地点参加培训）培训地点由甲方乙方商定</w:t>
      </w:r>
      <w:r>
        <w:rPr>
          <w:rFonts w:hint="eastAsia" w:ascii="宋体" w:hAnsi="宋体"/>
          <w:color w:val="000000"/>
          <w:szCs w:val="21"/>
          <w:lang w:eastAsia="zh-CN"/>
        </w:rPr>
        <w:t>；</w:t>
      </w:r>
    </w:p>
    <w:p w14:paraId="6B7ACBD1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乙方提供一年两次，每次两个工作日的巡检服务，到甲方现场检查系统模块运行情况，与甲方维护人员沟通，提供常见问题的解决办法，巡检结束后给甲方提供巡检报告</w:t>
      </w:r>
      <w:r>
        <w:rPr>
          <w:rFonts w:hint="eastAsia" w:ascii="宋体" w:hAnsi="宋体"/>
          <w:color w:val="000000"/>
          <w:szCs w:val="21"/>
          <w:lang w:eastAsia="zh-CN"/>
        </w:rPr>
        <w:t>；</w:t>
      </w:r>
    </w:p>
    <w:p w14:paraId="60EA0A75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乙方提供维护热线，并为甲方建立维护档案，给予及时的系统支持；</w:t>
      </w:r>
    </w:p>
    <w:p w14:paraId="0DA01C53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乙方帮助甲方建立日常维护记录制度和系统管理规范；</w:t>
      </w:r>
    </w:p>
    <w:p w14:paraId="6E102B3D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乙方解答甲方关于系统疑难问题，并提供解决方案；</w:t>
      </w:r>
    </w:p>
    <w:p w14:paraId="4C1F6C3C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乙方免费配合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政策性接口和第三方系统接口与眼科门诊电子病历与眼科PACS系统的对接；</w:t>
      </w:r>
    </w:p>
    <w:p w14:paraId="74C58FC7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甲方若新增设备，乙方免费将其接入PACS系统中；</w:t>
      </w:r>
    </w:p>
    <w:p w14:paraId="19C04CB9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乙方需提供PACS影像重叠对比功能；</w:t>
      </w:r>
    </w:p>
    <w:p w14:paraId="30F9F8D7">
      <w:pPr>
        <w:pStyle w:val="12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840" w:leftChars="200" w:hanging="420" w:hanging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不在上述条款内的服务和其他事宜，双方友好协商，另行解决。</w:t>
      </w:r>
    </w:p>
    <w:p w14:paraId="4EC618F2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9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038"/>
        <w:gridCol w:w="5019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价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项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目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明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038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内容</w:t>
            </w:r>
          </w:p>
        </w:tc>
        <w:tc>
          <w:tcPr>
            <w:tcW w:w="5019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聊城市眼科医院眼科门诊电子病历系统及眼科PACS系统维保服务项目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82" w:type="dxa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1</w:t>
            </w:r>
          </w:p>
        </w:tc>
        <w:tc>
          <w:tcPr>
            <w:tcW w:w="3038" w:type="dxa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项目总报价</w:t>
            </w:r>
          </w:p>
        </w:tc>
        <w:tc>
          <w:tcPr>
            <w:tcW w:w="5019" w:type="dxa"/>
            <w:vAlign w:val="center"/>
          </w:tcPr>
          <w:p w14:paraId="68E5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6C4119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hAnsi="宋体"/>
                <w:sz w:val="24"/>
                <w:highlight w:val="none"/>
                <w:u w:val="none"/>
                <w:lang w:val="en-US" w:eastAsia="zh-CN"/>
              </w:rPr>
              <w:t>小写：</w:t>
            </w:r>
            <w:r>
              <w:rPr>
                <w:rFonts w:hint="eastAsia" w:hAnsi="宋体"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hAnsi="宋体"/>
                <w:sz w:val="24"/>
                <w:highlight w:val="none"/>
                <w:u w:val="none"/>
                <w:lang w:val="en-US" w:eastAsia="zh-CN"/>
              </w:rPr>
              <w:t>万元/年</w:t>
            </w:r>
            <w:bookmarkStart w:id="0" w:name="_GoBack"/>
            <w:bookmarkEnd w:id="0"/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2</w:t>
            </w:r>
          </w:p>
        </w:tc>
        <w:tc>
          <w:tcPr>
            <w:tcW w:w="3038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付款方式是否满足</w:t>
            </w:r>
          </w:p>
        </w:tc>
        <w:tc>
          <w:tcPr>
            <w:tcW w:w="5019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038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服务内容及服务要求是否满足医院需求</w:t>
            </w:r>
          </w:p>
        </w:tc>
        <w:tc>
          <w:tcPr>
            <w:tcW w:w="5019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02F5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81C354D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038" w:type="dxa"/>
            <w:vAlign w:val="center"/>
          </w:tcPr>
          <w:p w14:paraId="6F889EC7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其他优惠承诺</w:t>
            </w:r>
          </w:p>
        </w:tc>
        <w:tc>
          <w:tcPr>
            <w:tcW w:w="5019" w:type="dxa"/>
            <w:vAlign w:val="center"/>
          </w:tcPr>
          <w:p w14:paraId="214F3E58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0F22EE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7E0684D6">
      <w:pPr>
        <w:pStyle w:val="8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C512C"/>
    <w:multiLevelType w:val="singleLevel"/>
    <w:tmpl w:val="0FAC512C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130F6B62"/>
    <w:multiLevelType w:val="multilevel"/>
    <w:tmpl w:val="130F6B62"/>
    <w:lvl w:ilvl="0" w:tentative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6F56869"/>
    <w:multiLevelType w:val="multilevel"/>
    <w:tmpl w:val="16F56869"/>
    <w:lvl w:ilvl="0" w:tentative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437360F"/>
    <w:multiLevelType w:val="multilevel"/>
    <w:tmpl w:val="443736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6206E7E"/>
    <w:rsid w:val="072C5EA8"/>
    <w:rsid w:val="092D50C7"/>
    <w:rsid w:val="0A7C50CD"/>
    <w:rsid w:val="0D2522D3"/>
    <w:rsid w:val="0DDC3A38"/>
    <w:rsid w:val="0E9C164B"/>
    <w:rsid w:val="0EDB6D55"/>
    <w:rsid w:val="0F077FA2"/>
    <w:rsid w:val="0F221A78"/>
    <w:rsid w:val="0FAD0E40"/>
    <w:rsid w:val="13546543"/>
    <w:rsid w:val="16F70EB5"/>
    <w:rsid w:val="17407FBD"/>
    <w:rsid w:val="18AF57DD"/>
    <w:rsid w:val="19980358"/>
    <w:rsid w:val="1A313A8E"/>
    <w:rsid w:val="1D69006B"/>
    <w:rsid w:val="1F352F93"/>
    <w:rsid w:val="20B51619"/>
    <w:rsid w:val="28920DC2"/>
    <w:rsid w:val="28E924BD"/>
    <w:rsid w:val="2C8A649C"/>
    <w:rsid w:val="2D6825AD"/>
    <w:rsid w:val="2D9E29B8"/>
    <w:rsid w:val="31481E02"/>
    <w:rsid w:val="32BE6D34"/>
    <w:rsid w:val="332A453A"/>
    <w:rsid w:val="34C719E7"/>
    <w:rsid w:val="374A05A7"/>
    <w:rsid w:val="384D42A5"/>
    <w:rsid w:val="3A451DB4"/>
    <w:rsid w:val="40202F24"/>
    <w:rsid w:val="411E653D"/>
    <w:rsid w:val="41B36AA3"/>
    <w:rsid w:val="42E842E2"/>
    <w:rsid w:val="4B5F07FC"/>
    <w:rsid w:val="4B683D21"/>
    <w:rsid w:val="4C1C20FA"/>
    <w:rsid w:val="4C7D3DA8"/>
    <w:rsid w:val="51A234FE"/>
    <w:rsid w:val="52A907F9"/>
    <w:rsid w:val="54901979"/>
    <w:rsid w:val="55E3406F"/>
    <w:rsid w:val="5A010824"/>
    <w:rsid w:val="5A381463"/>
    <w:rsid w:val="5CDE7853"/>
    <w:rsid w:val="5D6773B1"/>
    <w:rsid w:val="5F3A78A1"/>
    <w:rsid w:val="606856F7"/>
    <w:rsid w:val="611F376E"/>
    <w:rsid w:val="641F4E2B"/>
    <w:rsid w:val="64A51E4B"/>
    <w:rsid w:val="66652D12"/>
    <w:rsid w:val="6675282C"/>
    <w:rsid w:val="675C04F1"/>
    <w:rsid w:val="68A652DE"/>
    <w:rsid w:val="69235A98"/>
    <w:rsid w:val="6C6D117C"/>
    <w:rsid w:val="6C7A7016"/>
    <w:rsid w:val="6CD3558F"/>
    <w:rsid w:val="6E147F29"/>
    <w:rsid w:val="6EDC65DD"/>
    <w:rsid w:val="701C5563"/>
    <w:rsid w:val="70504D1A"/>
    <w:rsid w:val="7133708A"/>
    <w:rsid w:val="715576D5"/>
    <w:rsid w:val="72A5086F"/>
    <w:rsid w:val="73AE23F9"/>
    <w:rsid w:val="74995C85"/>
    <w:rsid w:val="749E42D4"/>
    <w:rsid w:val="78C57A52"/>
    <w:rsid w:val="7A2C2C21"/>
    <w:rsid w:val="7A3C5701"/>
    <w:rsid w:val="7B5F033E"/>
    <w:rsid w:val="7D0E78F4"/>
    <w:rsid w:val="7D6363DE"/>
    <w:rsid w:val="7DC36AF3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Body Text"/>
    <w:basedOn w:val="1"/>
    <w:next w:val="1"/>
    <w:qFormat/>
    <w:uiPriority w:val="99"/>
    <w:pPr>
      <w:jc w:val="center"/>
    </w:pPr>
    <w:rPr>
      <w:rFonts w:ascii="楷体_GB2312" w:eastAsia="楷体_GB2312"/>
      <w:b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left="520"/>
    </w:pPr>
    <w:rPr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after="120"/>
      <w:ind w:firstLine="420" w:firstLineChars="100"/>
      <w:jc w:val="both"/>
    </w:pPr>
    <w:rPr>
      <w:sz w:val="21"/>
      <w:szCs w:val="24"/>
    </w:rPr>
  </w:style>
  <w:style w:type="paragraph" w:styleId="8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2468</Words>
  <Characters>2515</Characters>
  <Lines>0</Lines>
  <Paragraphs>0</Paragraphs>
  <TotalTime>16</TotalTime>
  <ScaleCrop>false</ScaleCrop>
  <LinksUpToDate>false</LinksUpToDate>
  <CharactersWithSpaces>2576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2025-05-08T09:20:08Z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F2C475CE7DF7467CBA1478260F990E87_13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