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12E7">
      <w:pPr>
        <w:pStyle w:val="2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32E5C98E">
      <w:pPr>
        <w:pStyle w:val="2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煎药室改造项目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32119A6F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付款方式及结算方式</w:t>
            </w:r>
          </w:p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5C5E8B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  <w:p w14:paraId="153DA19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（≤</w:t>
            </w:r>
            <w:r>
              <w:rPr>
                <w:rFonts w:hint="eastAsia"/>
                <w:sz w:val="24"/>
                <w:lang w:val="en-US" w:eastAsia="zh-CN"/>
              </w:rPr>
              <w:t>7天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4F83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7BE0EE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21DE7E2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保修期</w:t>
            </w:r>
          </w:p>
          <w:p w14:paraId="42CF6B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（≥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1年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1F3C2AD0">
            <w:pPr>
              <w:spacing w:line="500" w:lineRule="exact"/>
              <w:ind w:firstLine="1440" w:firstLineChars="6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7900AA52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1D792F2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632"/>
        <w:gridCol w:w="1380"/>
        <w:gridCol w:w="795"/>
        <w:gridCol w:w="1035"/>
        <w:gridCol w:w="1245"/>
        <w:gridCol w:w="744"/>
      </w:tblGrid>
      <w:tr w14:paraId="0A8D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分项报价表</w:t>
            </w:r>
          </w:p>
        </w:tc>
      </w:tr>
      <w:tr w14:paraId="46F5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</w:t>
            </w:r>
          </w:p>
        </w:tc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110C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9D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C9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03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96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9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 w14:paraId="7AAB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铲除原地坪漆并凿毛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F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A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5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0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拆除塑钢玻璃隔断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7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D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E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C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F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拆除石膏板隔断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7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E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8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F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1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拆除原木门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B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5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0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防盗门移位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0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B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C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600*600铝扣板吊顶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E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13.95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8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C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A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轻钢双面细木板水泥板内塞岩棉隔断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2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25.24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A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5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竹木纤维板墙面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C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42.08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9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2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E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3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17.74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A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A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A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1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新砌地台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0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C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2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4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地面铺800*800瓷砖（白色）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5F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19.27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9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1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不锈钢踢脚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E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12.14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3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C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C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不锈钢篦子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B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F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C3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9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不锈钢门套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1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2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B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7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排水槽内防水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2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B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1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5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5*25mm2电缆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F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6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4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BV-2.5mm2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7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25.29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7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C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D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BV-4mm2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4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93.30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F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B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BV-6mm2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188.31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7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74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1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PVCφ35穿线管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5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E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7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7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50cm×60cm配电箱</w:t>
            </w:r>
            <w:bookmarkStart w:id="0" w:name="_GoBack"/>
            <w:bookmarkEnd w:id="0"/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CA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7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C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6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10A五孔插座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E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6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F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16A三孔插座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6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5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C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600*600LED灯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B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4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6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双联开关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4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0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4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不锈钢水龙头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D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1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E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洗手池镀锌水龙头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1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1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F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PPRφ25给水管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1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19.58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A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F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F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8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PVC-Uφ50排水管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D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6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PVC-Uφ100排水管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3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9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7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砖墙打洞DN50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7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9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D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E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墙体开槽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BC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40.28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C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C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不锈钢定制洗手池</w:t>
            </w:r>
          </w:p>
          <w:p w14:paraId="47ED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（定制40cm×50cm带不锈钢架）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D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8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外运垃圾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A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B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消防风口移位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DE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7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0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6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10寸排风扇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8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5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B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B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8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F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备注：各项目名称报价不可缺项、删减。</w:t>
            </w:r>
          </w:p>
        </w:tc>
      </w:tr>
    </w:tbl>
    <w:p w14:paraId="653F56E0"/>
    <w:sectPr>
      <w:pgSz w:w="11906" w:h="16838"/>
      <w:pgMar w:top="1077" w:right="1417" w:bottom="107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4DFE"/>
    <w:rsid w:val="23A238D7"/>
    <w:rsid w:val="310C3E8E"/>
    <w:rsid w:val="322442FA"/>
    <w:rsid w:val="53487ED9"/>
    <w:rsid w:val="5DEA3E45"/>
    <w:rsid w:val="6C5E7B43"/>
    <w:rsid w:val="6ED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743</Characters>
  <Lines>0</Lines>
  <Paragraphs>0</Paragraphs>
  <TotalTime>1</TotalTime>
  <ScaleCrop>false</ScaleCrop>
  <LinksUpToDate>false</LinksUpToDate>
  <CharactersWithSpaces>844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2026-05-21T00:27:00Z</dcterms:created>
  <dc:creator>Administrator</dc:creator>
  <cp:lastModifiedBy>张朋</cp:lastModifiedBy>
  <dcterms:modified xsi:type="dcterms:W3CDTF">2026-06-29T06:30:19Z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eyJoZGlkIjoiN2U2M2ZhZTEwNDlkYWNkNGI0MTU4NzYyNGM3NGYwZTQiLCJ1c2VySWQiOiIxNzU4Njk3MjI1In0=</vt:lpwstr>
  </property>
  <property fmtid="{D5CDD505-2E9C-101B-9397-08002B2CF9AE}" pid="4" name="ICV">
    <vt:lpwstr>9E706F83CA31462A97E8410F44C533BA_13</vt:lpwstr>
  </property>
</Properties>
</file>