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highlight w:val="none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1、营业执照、基本开户证明（复印件加盖公章）；</w:t>
      </w:r>
    </w:p>
    <w:p w14:paraId="71F7C3B4">
      <w:pPr>
        <w:numPr>
          <w:ilvl w:val="0"/>
          <w:numId w:val="0"/>
        </w:numPr>
        <w:jc w:val="left"/>
        <w:rPr>
          <w:rFonts w:hint="eastAsia"/>
          <w:highlight w:val="none"/>
          <w:lang w:val="en-US" w:eastAsia="zh-CN"/>
        </w:rPr>
      </w:pPr>
      <w:r>
        <w:rPr>
          <w:rFonts w:hint="default" w:eastAsia="宋体" w:cs="宋体" w:asciiTheme="minorAscii" w:hAnsiTheme="minorAscii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4、报价表；</w:t>
      </w:r>
    </w:p>
    <w:p w14:paraId="607F70DC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highlight w:val="none"/>
          <w:vertAlign w:val="baseline"/>
          <w:lang w:val="en-US" w:eastAsia="zh-CN"/>
        </w:rPr>
        <w:t>5、</w:t>
      </w: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评分细则中相关资料。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包1、包2供应商须满足以下要求</w:t>
      </w:r>
    </w:p>
    <w:p w14:paraId="277BC8F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货到现场安装调试并验收合格后，3个月内付合同总金额的90%，剩余10％一年后一次性无息付清。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2、交货安装期：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Theme="minorAscii" w:hAnsiTheme="minorAscii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Ascii" w:hAnsiTheme="minorAscii"/>
          <w:b/>
          <w:bCs/>
          <w:color w:val="auto"/>
          <w:sz w:val="24"/>
          <w:szCs w:val="24"/>
          <w:highlight w:val="none"/>
          <w:lang w:val="en-US" w:eastAsia="zh-CN"/>
        </w:rPr>
        <w:t>质保及售后服务</w: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整机质保≥1年，设备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必须为近6个月内生产的全新设备；</w:t>
      </w:r>
      <w:r>
        <w:rPr>
          <w:rFonts w:hint="eastAsia" w:ascii="宋体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接到报修通知后1小时内响应，48小时内到达现场并排除故障。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包括</w:t>
      </w:r>
      <w:r>
        <w:rPr>
          <w:rFonts w:hint="eastAsia"/>
          <w:sz w:val="24"/>
          <w:szCs w:val="24"/>
          <w:highlight w:val="none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5、设备参数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220"/>
        <w:gridCol w:w="6099"/>
      </w:tblGrid>
      <w:tr w14:paraId="026E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  <w:vAlign w:val="center"/>
          </w:tcPr>
          <w:p w14:paraId="29FA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220" w:type="dxa"/>
            <w:vAlign w:val="center"/>
          </w:tcPr>
          <w:p w14:paraId="4155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099" w:type="dxa"/>
          </w:tcPr>
          <w:p w14:paraId="0460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设备参数</w:t>
            </w:r>
          </w:p>
        </w:tc>
      </w:tr>
      <w:tr w14:paraId="0E8F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969" w:type="dxa"/>
            <w:vAlign w:val="center"/>
          </w:tcPr>
          <w:p w14:paraId="55F0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包1</w:t>
            </w:r>
          </w:p>
        </w:tc>
        <w:tc>
          <w:tcPr>
            <w:tcW w:w="2220" w:type="dxa"/>
            <w:vAlign w:val="center"/>
          </w:tcPr>
          <w:p w14:paraId="508D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眼周经穴电脉冲治疗仪</w:t>
            </w:r>
          </w:p>
        </w:tc>
        <w:tc>
          <w:tcPr>
            <w:tcW w:w="6099" w:type="dxa"/>
            <w:vAlign w:val="center"/>
          </w:tcPr>
          <w:p w14:paraId="1B61E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1.该设备用于改善近视患者的调节功能，治疗儿童青少年假性近视及低度近视的调节功能异常；</w:t>
            </w:r>
          </w:p>
          <w:p w14:paraId="6FB63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2.具备液晶触屏；</w:t>
            </w:r>
          </w:p>
          <w:p w14:paraId="5DF50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3.具备自动穴位定位功能，实现精准穴位电脉冲刺激；</w:t>
            </w:r>
          </w:p>
          <w:p w14:paraId="56E73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4.至少可同时对3个用户进行治疗；</w:t>
            </w:r>
          </w:p>
          <w:p w14:paraId="1862C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5.能够设置频率、治疗强度、载波强度和治疗时长；</w:t>
            </w:r>
          </w:p>
          <w:p w14:paraId="7F92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6.最大电流不超过10mA；</w:t>
            </w:r>
          </w:p>
          <w:p w14:paraId="266BC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7.工作波形为双向对称方波脉冲。</w:t>
            </w:r>
          </w:p>
        </w:tc>
      </w:tr>
      <w:tr w14:paraId="6108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969" w:type="dxa"/>
            <w:vAlign w:val="center"/>
          </w:tcPr>
          <w:p w14:paraId="000D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包2</w:t>
            </w:r>
          </w:p>
        </w:tc>
        <w:tc>
          <w:tcPr>
            <w:tcW w:w="2220" w:type="dxa"/>
            <w:vAlign w:val="center"/>
          </w:tcPr>
          <w:p w14:paraId="0EA29E25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综合视功能检测</w:t>
            </w:r>
          </w:p>
          <w:p w14:paraId="1592811A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训练仪</w:t>
            </w:r>
          </w:p>
        </w:tc>
        <w:tc>
          <w:tcPr>
            <w:tcW w:w="6099" w:type="dxa"/>
            <w:vAlign w:val="center"/>
          </w:tcPr>
          <w:p w14:paraId="05A97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1.该设备用于主观测量人眼屈光状态，近视、斜弱视导致的视功能异常的辅助治疗；</w:t>
            </w:r>
          </w:p>
          <w:p w14:paraId="08F5A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2.具备液晶触屏；</w:t>
            </w:r>
          </w:p>
          <w:p w14:paraId="4DA50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3.瞳距调节范围不小于50mm-70mm，误差≤0.5mm；</w:t>
            </w:r>
          </w:p>
          <w:p w14:paraId="2D333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4.红绿镜片：融像训练时，通过红色镜片只能看到绿色图案，通过绿色镜片只能看到红色图案。</w:t>
            </w:r>
          </w:p>
        </w:tc>
      </w:tr>
    </w:tbl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br w:type="page"/>
      </w:r>
    </w:p>
    <w:p w14:paraId="131D19E6">
      <w:pPr>
        <w:pStyle w:val="2"/>
        <w:rPr>
          <w:rFonts w:hint="eastAsia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highlight w:val="none"/>
          <w:lang w:val="en-US" w:eastAsia="zh-CN"/>
        </w:rPr>
        <w:t>三、</w:t>
      </w:r>
      <w:r>
        <w:rPr>
          <w:rFonts w:hint="eastAsia" w:hAnsi="宋体" w:cs="宋体"/>
          <w:b/>
          <w:bCs/>
          <w:sz w:val="24"/>
          <w:szCs w:val="24"/>
          <w:highlight w:val="none"/>
          <w:lang w:val="en-US" w:eastAsia="zh-CN"/>
        </w:rPr>
        <w:t>包1、包2评分细则（10分）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661"/>
        <w:gridCol w:w="4853"/>
      </w:tblGrid>
      <w:tr w14:paraId="3CD7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评分方法</w:t>
            </w:r>
          </w:p>
        </w:tc>
      </w:tr>
      <w:tr w14:paraId="6EC4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109D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产品综合实力  4分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4A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根据供应商提供产品的具体设备参数、使用功能、使用寿命、效能，结合产品的操作方便性、易维护性、安全性等进行评分（0-2分）</w:t>
            </w:r>
          </w:p>
          <w:p w14:paraId="2FF23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2、根据供应商提供的安装调试方案、技术保障，对提供的技术安装人员配置及培训方案进行评分（0-2分）</w:t>
            </w:r>
          </w:p>
        </w:tc>
      </w:tr>
      <w:tr w14:paraId="5289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三</w:t>
            </w:r>
          </w:p>
        </w:tc>
        <w:tc>
          <w:tcPr>
            <w:tcW w:w="1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售后服务  3分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根据供应商提供的售后服务措施、响应时间、质保期内提供的质保内容和范围进行综合评分（0-3分）</w:t>
            </w:r>
          </w:p>
        </w:tc>
      </w:tr>
    </w:tbl>
    <w:p w14:paraId="34546D4F">
      <w:pPr>
        <w:jc w:val="both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备注：请按照评分细则中提供相关资料。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包1：眼周经穴电脉冲治疗仪报价表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4841" w:type="dxa"/>
            <w:vAlign w:val="center"/>
          </w:tcPr>
          <w:p w14:paraId="721A849C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聊城市眼院验光配镜有限公司医疗设备</w:t>
            </w:r>
          </w:p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眼周经穴电脉冲治疗仪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08F00A9F">
            <w:pPr>
              <w:pStyle w:val="2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质保及售后服务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rPr>
                <w:rFonts w:hint="default" w:asci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质保：</w:t>
            </w:r>
            <w:r>
              <w:rPr>
                <w:rFonts w:hint="eastAsia" w:ascii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年；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接到报修通知后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小时内响应，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小时内到达现场并排除故障。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附设备配置清单及参数</w:t>
            </w:r>
          </w:p>
          <w:p w14:paraId="3A440458">
            <w:pPr>
              <w:pStyle w:val="2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（不满足地方需在参数中注明）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highlight w:val="none"/>
        </w:rPr>
        <w:t>供应商名称（盖章）</w:t>
      </w:r>
      <w:r>
        <w:rPr>
          <w:rFonts w:ascii="宋体" w:hAnsi="宋体" w:cs="宋体"/>
          <w:b/>
          <w:sz w:val="24"/>
          <w:highlight w:val="none"/>
        </w:rPr>
        <w:t xml:space="preserve"> </w:t>
      </w:r>
      <w:r>
        <w:rPr>
          <w:rFonts w:hint="eastAsia" w:ascii="宋体" w:hAnsi="宋体" w:cs="宋体"/>
          <w:b/>
          <w:sz w:val="24"/>
          <w:highlight w:val="none"/>
        </w:rPr>
        <w:t>：</w:t>
      </w:r>
    </w:p>
    <w:p w14:paraId="386017B3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法定代表人或授权代表签字：</w:t>
      </w:r>
    </w:p>
    <w:p w14:paraId="39E4F311">
      <w:pPr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br w:type="page"/>
      </w:r>
    </w:p>
    <w:p w14:paraId="4B932546">
      <w:pPr>
        <w:jc w:val="center"/>
        <w:rPr>
          <w:rFonts w:hint="eastAsia" w:eastAsia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包2：综合视功能检测训练仪报价表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34D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6EAADF9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3D29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5BF946F4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216" w:type="dxa"/>
            <w:vAlign w:val="center"/>
          </w:tcPr>
          <w:p w14:paraId="61BFF843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4841" w:type="dxa"/>
            <w:vAlign w:val="center"/>
          </w:tcPr>
          <w:p w14:paraId="69BD9B57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聊城市眼院验光配镜有限公司医疗设备</w:t>
            </w:r>
          </w:p>
          <w:p w14:paraId="1010874D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75CE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837077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2B38C30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包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综合视功能检测训练仪</w:t>
            </w:r>
          </w:p>
          <w:p w14:paraId="2EEC7515">
            <w:pPr>
              <w:pStyle w:val="2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  <w:lang w:val="en-US" w:eastAsia="zh-CN"/>
              </w:rPr>
              <w:t>（两台）</w:t>
            </w:r>
          </w:p>
        </w:tc>
        <w:tc>
          <w:tcPr>
            <w:tcW w:w="4841" w:type="dxa"/>
            <w:vAlign w:val="center"/>
          </w:tcPr>
          <w:p w14:paraId="45338E94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150B59A4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总价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</w:p>
        </w:tc>
      </w:tr>
      <w:tr w14:paraId="0C9F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2078A44D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0C26906A">
            <w:pPr>
              <w:spacing w:line="500" w:lineRule="exact"/>
              <w:jc w:val="center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62DDA16">
            <w:pPr>
              <w:spacing w:line="500" w:lineRule="exact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设备品牌、型号：</w:t>
            </w:r>
          </w:p>
        </w:tc>
      </w:tr>
      <w:tr w14:paraId="2A79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4E6BE56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216" w:type="dxa"/>
            <w:vAlign w:val="center"/>
          </w:tcPr>
          <w:p w14:paraId="4380A38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30A4A331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598B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4F45982F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E61879">
            <w:pPr>
              <w:pStyle w:val="2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44573BAB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  <w:tr w14:paraId="749A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49E66BD">
            <w:pPr>
              <w:spacing w:line="500" w:lineRule="exact"/>
              <w:jc w:val="center"/>
              <w:rPr>
                <w:rFonts w:hint="default" w:ascii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3D9EC225">
            <w:pPr>
              <w:pStyle w:val="2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质保及售后服务</w:t>
            </w:r>
          </w:p>
        </w:tc>
        <w:tc>
          <w:tcPr>
            <w:tcW w:w="4841" w:type="dxa"/>
            <w:vAlign w:val="center"/>
          </w:tcPr>
          <w:p w14:paraId="0060E852">
            <w:pPr>
              <w:spacing w:line="500" w:lineRule="exact"/>
              <w:rPr>
                <w:rFonts w:hint="default" w:asci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u w:val="none"/>
                <w:lang w:val="en-US" w:eastAsia="zh-CN"/>
              </w:rPr>
              <w:t>质保：</w:t>
            </w:r>
            <w:r>
              <w:rPr>
                <w:rFonts w:hint="eastAsia" w:ascii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年；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接到报修通知后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小时内响应，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小时内到达现场并排除故障。</w:t>
            </w:r>
          </w:p>
        </w:tc>
      </w:tr>
      <w:tr w14:paraId="7B65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29266A7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59FE07AC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DB2AE61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</w:p>
        </w:tc>
      </w:tr>
      <w:tr w14:paraId="1A9B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266469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30CEC56A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附设备配置清单及参数</w:t>
            </w:r>
          </w:p>
          <w:p w14:paraId="65C0995B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（不满足地方需在参数中注明）</w:t>
            </w:r>
          </w:p>
        </w:tc>
      </w:tr>
    </w:tbl>
    <w:p w14:paraId="7AC2B57B">
      <w:pPr>
        <w:spacing w:line="480" w:lineRule="auto"/>
        <w:ind w:firstLine="354" w:firstLineChars="147"/>
        <w:rPr>
          <w:rFonts w:ascii="宋体" w:cs="宋体"/>
          <w:b/>
          <w:sz w:val="24"/>
          <w:highlight w:val="none"/>
          <w:u w:val="single"/>
        </w:rPr>
      </w:pPr>
      <w:r>
        <w:rPr>
          <w:rFonts w:hint="eastAsia" w:ascii="宋体" w:hAnsi="宋体" w:cs="宋体"/>
          <w:b/>
          <w:sz w:val="24"/>
          <w:highlight w:val="none"/>
        </w:rPr>
        <w:t>供应商名称（盖章）</w:t>
      </w:r>
      <w:r>
        <w:rPr>
          <w:rFonts w:ascii="宋体" w:hAnsi="宋体" w:cs="宋体"/>
          <w:b/>
          <w:sz w:val="24"/>
          <w:highlight w:val="none"/>
        </w:rPr>
        <w:t xml:space="preserve"> </w:t>
      </w:r>
      <w:r>
        <w:rPr>
          <w:rFonts w:hint="eastAsia" w:ascii="宋体" w:hAnsi="宋体" w:cs="宋体"/>
          <w:b/>
          <w:sz w:val="24"/>
          <w:highlight w:val="none"/>
        </w:rPr>
        <w:t>：</w:t>
      </w:r>
    </w:p>
    <w:p w14:paraId="42DE96FA">
      <w:pPr>
        <w:pStyle w:val="2"/>
        <w:rPr>
          <w:rFonts w:hint="eastAsia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highlight w:val="none"/>
          <w:lang w:val="en-US" w:eastAsia="zh-CN"/>
        </w:rPr>
      </w:pPr>
    </w:p>
    <w:bookmarkEnd w:id="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42729"/>
    <w:rsid w:val="0F077FA2"/>
    <w:rsid w:val="0F221A78"/>
    <w:rsid w:val="13546543"/>
    <w:rsid w:val="135D2041"/>
    <w:rsid w:val="13D60BB5"/>
    <w:rsid w:val="143847E8"/>
    <w:rsid w:val="15E3376D"/>
    <w:rsid w:val="16F70EB5"/>
    <w:rsid w:val="191A5004"/>
    <w:rsid w:val="1A313A8E"/>
    <w:rsid w:val="1B7E73AC"/>
    <w:rsid w:val="1E632D9A"/>
    <w:rsid w:val="1F352F93"/>
    <w:rsid w:val="21E6036C"/>
    <w:rsid w:val="226A0DA0"/>
    <w:rsid w:val="25EB243C"/>
    <w:rsid w:val="28920DC2"/>
    <w:rsid w:val="28AE696E"/>
    <w:rsid w:val="28E924BD"/>
    <w:rsid w:val="2C8A649C"/>
    <w:rsid w:val="2D6825AD"/>
    <w:rsid w:val="2E4A53FC"/>
    <w:rsid w:val="31481E02"/>
    <w:rsid w:val="32BE6D34"/>
    <w:rsid w:val="332A453A"/>
    <w:rsid w:val="33C95001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AA648B7"/>
    <w:rsid w:val="5CDE7853"/>
    <w:rsid w:val="5D6773B1"/>
    <w:rsid w:val="5EB532BF"/>
    <w:rsid w:val="606856F7"/>
    <w:rsid w:val="638D3554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  <w:rsid w:val="7FB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1443</Characters>
  <Lines>0</Lines>
  <Paragraphs>0</Paragraphs>
  <TotalTime>3</TotalTime>
  <ScaleCrop>false</ScaleCrop>
  <LinksUpToDate>false</LinksUpToDate>
  <CharactersWithSpaces>1574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2026-05-20T01:42:38Z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