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B244A">
      <w:pPr>
        <w:numPr>
          <w:ilvl w:val="0"/>
          <w:numId w:val="0"/>
        </w:numPr>
        <w:jc w:val="center"/>
        <w:rPr>
          <w:rFonts w:hint="eastAsia"/>
          <w:sz w:val="28"/>
          <w:szCs w:val="28"/>
          <w:highlight w:val="none"/>
          <w:lang w:val="en-US" w:eastAsia="zh-CN"/>
        </w:rPr>
      </w:pPr>
      <w:r>
        <w:rPr>
          <w:rFonts w:hint="eastAsia" w:ascii="方正小标宋简体" w:hAnsi="方正小标宋简体" w:eastAsia="方正小标宋简体" w:cs="方正小标宋简体"/>
          <w:b/>
          <w:bCs/>
          <w:sz w:val="28"/>
          <w:szCs w:val="28"/>
          <w:highlight w:val="none"/>
          <w:lang w:val="en-US" w:eastAsia="zh-CN"/>
        </w:rPr>
        <w:t>供应商须知</w:t>
      </w:r>
    </w:p>
    <w:p w14:paraId="782D462D">
      <w:pPr>
        <w:numPr>
          <w:ilvl w:val="0"/>
          <w:numId w:val="0"/>
        </w:numPr>
        <w:rPr>
          <w:rFonts w:hint="eastAsia"/>
          <w:b/>
          <w:bCs/>
          <w:sz w:val="24"/>
          <w:szCs w:val="24"/>
          <w:highlight w:val="none"/>
          <w:lang w:val="en-US" w:eastAsia="zh-CN"/>
        </w:rPr>
      </w:pPr>
      <w:r>
        <w:rPr>
          <w:rFonts w:hint="eastAsia"/>
          <w:b/>
          <w:bCs/>
          <w:sz w:val="24"/>
          <w:szCs w:val="24"/>
          <w:highlight w:val="none"/>
          <w:lang w:val="en-US" w:eastAsia="zh-CN"/>
        </w:rPr>
        <w:t>一、供应商须提供证明材料</w:t>
      </w:r>
    </w:p>
    <w:p w14:paraId="71B605F9">
      <w:pPr>
        <w:numPr>
          <w:ilvl w:val="0"/>
          <w:numId w:val="0"/>
        </w:numPr>
        <w:rPr>
          <w:rFonts w:hint="eastAsia"/>
          <w:sz w:val="24"/>
          <w:szCs w:val="24"/>
          <w:highlight w:val="none"/>
          <w:lang w:val="en-US" w:eastAsia="zh-CN"/>
        </w:rPr>
      </w:pPr>
      <w:r>
        <w:rPr>
          <w:rFonts w:hint="eastAsia"/>
          <w:sz w:val="24"/>
          <w:szCs w:val="24"/>
          <w:highlight w:val="none"/>
          <w:lang w:val="en-US" w:eastAsia="zh-CN"/>
        </w:rPr>
        <w:t>1、营业执照、基本开户证明（复印件加盖公章）；</w:t>
      </w:r>
    </w:p>
    <w:p w14:paraId="71F7C3B4">
      <w:pPr>
        <w:numPr>
          <w:ilvl w:val="0"/>
          <w:numId w:val="0"/>
        </w:numPr>
        <w:jc w:val="left"/>
        <w:rPr>
          <w:rFonts w:hint="eastAsia"/>
          <w:highlight w:val="none"/>
          <w:lang w:val="en-US" w:eastAsia="zh-CN"/>
        </w:rPr>
      </w:pPr>
      <w:r>
        <w:rPr>
          <w:rFonts w:hint="default" w:eastAsia="宋体" w:cs="宋体" w:asciiTheme="minorAscii" w:hAnsiTheme="minorAscii"/>
          <w:sz w:val="24"/>
          <w:highlight w:val="none"/>
          <w:lang w:val="en-US" w:eastAsia="zh-CN"/>
        </w:rPr>
        <w:t>2、</w:t>
      </w:r>
      <w:r>
        <w:rPr>
          <w:rFonts w:hint="eastAsia" w:ascii="宋体" w:hAnsi="宋体" w:eastAsia="宋体" w:cs="宋体"/>
          <w:sz w:val="24"/>
          <w:highlight w:val="none"/>
          <w:lang w:val="en-US" w:eastAsia="zh-CN"/>
        </w:rPr>
        <w:t>若供应商为制造商，应提供《医疗器械生产许可证》及所投产品对应的《医疗器械注册证》；若供应商为代理商或经销商，应提供《医疗器械经营企业许可证》或《医疗器械的经营备案凭证》及所投产品对应的《医疗器械注册证》；</w:t>
      </w:r>
    </w:p>
    <w:p w14:paraId="47979480">
      <w:pPr>
        <w:numPr>
          <w:ilvl w:val="0"/>
          <w:numId w:val="0"/>
        </w:numPr>
        <w:rPr>
          <w:rFonts w:hint="eastAsia"/>
          <w:sz w:val="24"/>
          <w:szCs w:val="24"/>
          <w:highlight w:val="none"/>
          <w:lang w:val="en-US" w:eastAsia="zh-CN"/>
        </w:rPr>
      </w:pPr>
      <w:r>
        <w:rPr>
          <w:rFonts w:hint="eastAsia"/>
          <w:sz w:val="24"/>
          <w:szCs w:val="24"/>
          <w:highlight w:val="none"/>
          <w:lang w:val="en-US" w:eastAsia="zh-CN"/>
        </w:rPr>
        <w:t>3、法定代表人授权委托书及授权代表身份证复印件；</w:t>
      </w:r>
    </w:p>
    <w:p w14:paraId="5FA95475">
      <w:pPr>
        <w:numPr>
          <w:ilvl w:val="0"/>
          <w:numId w:val="0"/>
        </w:numPr>
        <w:rPr>
          <w:rFonts w:hint="eastAsia"/>
          <w:sz w:val="24"/>
          <w:szCs w:val="24"/>
          <w:highlight w:val="none"/>
          <w:vertAlign w:val="baseline"/>
          <w:lang w:val="en-US" w:eastAsia="zh-CN"/>
        </w:rPr>
      </w:pPr>
      <w:r>
        <w:rPr>
          <w:rFonts w:hint="eastAsia"/>
          <w:sz w:val="24"/>
          <w:szCs w:val="24"/>
          <w:highlight w:val="none"/>
          <w:vertAlign w:val="baseline"/>
          <w:lang w:val="en-US" w:eastAsia="zh-CN"/>
        </w:rPr>
        <w:t>4、报价表；</w:t>
      </w:r>
    </w:p>
    <w:p w14:paraId="607F70DC">
      <w:pPr>
        <w:pStyle w:val="6"/>
        <w:rPr>
          <w:rFonts w:hint="default"/>
          <w:highlight w:val="none"/>
          <w:lang w:val="en-US" w:eastAsia="zh-CN"/>
        </w:rPr>
      </w:pPr>
      <w:r>
        <w:rPr>
          <w:rFonts w:hint="default" w:asciiTheme="minorAscii" w:hAnsiTheme="minorAscii"/>
          <w:sz w:val="24"/>
          <w:szCs w:val="24"/>
          <w:highlight w:val="none"/>
          <w:vertAlign w:val="baseline"/>
          <w:lang w:val="en-US" w:eastAsia="zh-CN"/>
        </w:rPr>
        <w:t>5、</w:t>
      </w:r>
      <w:r>
        <w:rPr>
          <w:rFonts w:hint="eastAsia"/>
          <w:sz w:val="24"/>
          <w:szCs w:val="24"/>
          <w:highlight w:val="none"/>
          <w:vertAlign w:val="baseline"/>
          <w:lang w:val="en-US" w:eastAsia="zh-CN"/>
        </w:rPr>
        <w:t>评分细则中相关资料。</w:t>
      </w:r>
    </w:p>
    <w:p w14:paraId="12D628EC">
      <w:pPr>
        <w:numPr>
          <w:ilvl w:val="0"/>
          <w:numId w:val="0"/>
        </w:numPr>
        <w:rPr>
          <w:rFonts w:hint="eastAsia"/>
          <w:b/>
          <w:bCs/>
          <w:sz w:val="24"/>
          <w:szCs w:val="24"/>
          <w:highlight w:val="none"/>
          <w:u w:val="single"/>
          <w:lang w:val="en-US" w:eastAsia="zh-CN"/>
        </w:rPr>
      </w:pPr>
      <w:r>
        <w:rPr>
          <w:rFonts w:hint="eastAsia"/>
          <w:b/>
          <w:bCs/>
          <w:sz w:val="24"/>
          <w:szCs w:val="24"/>
          <w:highlight w:val="none"/>
          <w:u w:val="single"/>
          <w:lang w:val="en-US" w:eastAsia="zh-CN"/>
        </w:rPr>
        <w:t>按以上要求提供证相关证件及资料各一份、不可缺项，按顺序装订。</w:t>
      </w:r>
    </w:p>
    <w:p w14:paraId="67A9F092">
      <w:pPr>
        <w:numPr>
          <w:ilvl w:val="0"/>
          <w:numId w:val="0"/>
        </w:numPr>
        <w:rPr>
          <w:rFonts w:hint="eastAsia"/>
          <w:sz w:val="24"/>
          <w:szCs w:val="24"/>
          <w:highlight w:val="none"/>
          <w:lang w:val="en-US" w:eastAsia="zh-CN"/>
        </w:rPr>
      </w:pPr>
    </w:p>
    <w:p w14:paraId="6BB8171C">
      <w:pPr>
        <w:numPr>
          <w:ilvl w:val="0"/>
          <w:numId w:val="0"/>
        </w:numPr>
        <w:rPr>
          <w:rFonts w:hint="eastAsia"/>
          <w:b/>
          <w:bCs/>
          <w:sz w:val="24"/>
          <w:szCs w:val="24"/>
          <w:highlight w:val="none"/>
          <w:lang w:val="en-US" w:eastAsia="zh-CN"/>
        </w:rPr>
      </w:pPr>
      <w:r>
        <w:rPr>
          <w:rFonts w:hint="eastAsia"/>
          <w:b/>
          <w:bCs/>
          <w:sz w:val="24"/>
          <w:szCs w:val="24"/>
          <w:highlight w:val="none"/>
          <w:lang w:val="en-US" w:eastAsia="zh-CN"/>
        </w:rPr>
        <w:t>二、供应商须满足以下要求</w:t>
      </w:r>
    </w:p>
    <w:p w14:paraId="277BC8F7">
      <w:pPr>
        <w:numPr>
          <w:ilvl w:val="0"/>
          <w:numId w:val="0"/>
        </w:numP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pPr>
      <w:r>
        <w:rPr>
          <w:rFonts w:hint="eastAsia"/>
          <w:b/>
          <w:bCs/>
          <w:sz w:val="24"/>
          <w:szCs w:val="24"/>
          <w:highlight w:val="none"/>
          <w:lang w:val="en-US" w:eastAsia="zh-CN"/>
        </w:rPr>
        <w:t>1、付款方式：</w:t>
      </w:r>
      <w:r>
        <w:rPr>
          <w:rFonts w:hint="eastAsia"/>
          <w:b w:val="0"/>
          <w:bCs w:val="0"/>
          <w:sz w:val="24"/>
          <w:szCs w:val="24"/>
          <w:highlight w:val="none"/>
          <w:lang w:val="en-US" w:eastAsia="zh-CN"/>
        </w:rPr>
        <w:t>银行汇款，货到现场安装调试并验收合格后，3个月内付合同总金额的90%，剩余10％一年后一次性无息付清。</w:t>
      </w:r>
    </w:p>
    <w:p w14:paraId="3F1B4D10">
      <w:pPr>
        <w:numPr>
          <w:ilvl w:val="0"/>
          <w:numId w:val="0"/>
        </w:numPr>
        <w:rPr>
          <w:rFonts w:hint="default"/>
          <w:sz w:val="24"/>
          <w:szCs w:val="24"/>
          <w:highlight w:val="none"/>
          <w:lang w:val="en-US" w:eastAsia="zh-CN"/>
        </w:rPr>
      </w:pPr>
      <w:r>
        <w:rPr>
          <w:rFonts w:hint="eastAsia"/>
          <w:b/>
          <w:bCs/>
          <w:sz w:val="24"/>
          <w:szCs w:val="24"/>
          <w:highlight w:val="none"/>
          <w:lang w:val="en-US" w:eastAsia="zh-CN"/>
        </w:rPr>
        <w:t>2、交货安装期：</w:t>
      </w:r>
      <w:r>
        <w:rPr>
          <w:rFonts w:hint="eastAsia"/>
          <w:b w:val="0"/>
          <w:bCs w:val="0"/>
          <w:sz w:val="24"/>
          <w:szCs w:val="24"/>
          <w:highlight w:val="none"/>
          <w:lang w:val="en-US" w:eastAsia="zh-CN"/>
        </w:rPr>
        <w:t>合同签订后</w:t>
      </w:r>
      <w:r>
        <w:rPr>
          <w:rFonts w:hint="eastAsia"/>
          <w:b w:val="0"/>
          <w:bCs w:val="0"/>
          <w:sz w:val="24"/>
          <w:szCs w:val="24"/>
          <w:highlight w:val="none"/>
          <w:u w:val="single"/>
          <w:lang w:val="en-US" w:eastAsia="zh-CN"/>
        </w:rPr>
        <w:t xml:space="preserve">  5 日</w:t>
      </w:r>
      <w:r>
        <w:rPr>
          <w:rFonts w:hint="eastAsia"/>
          <w:b w:val="0"/>
          <w:bCs w:val="0"/>
          <w:sz w:val="24"/>
          <w:szCs w:val="24"/>
          <w:highlight w:val="none"/>
          <w:lang w:val="en-US" w:eastAsia="zh-CN"/>
        </w:rPr>
        <w:t>历天内交货安装完毕。</w:t>
      </w:r>
    </w:p>
    <w:p w14:paraId="08F556DE">
      <w:pPr>
        <w:pStyle w:val="6"/>
        <w:rPr>
          <w:rFonts w:hint="default"/>
          <w:color w:val="auto"/>
          <w:highlight w:val="none"/>
          <w:lang w:val="en-US" w:eastAsia="zh-CN"/>
        </w:rPr>
      </w:pPr>
      <w:r>
        <w:rPr>
          <w:rFonts w:hint="default" w:asciiTheme="minorAscii" w:hAnsiTheme="minorAscii"/>
          <w:b/>
          <w:bCs/>
          <w:color w:val="auto"/>
          <w:sz w:val="24"/>
          <w:szCs w:val="24"/>
          <w:highlight w:val="none"/>
          <w:lang w:val="en-US" w:eastAsia="zh-CN"/>
        </w:rPr>
        <w:t>3、</w:t>
      </w:r>
      <w:r>
        <w:rPr>
          <w:rFonts w:hint="eastAsia" w:asciiTheme="minorAscii" w:hAnsiTheme="minorAscii"/>
          <w:b/>
          <w:bCs/>
          <w:color w:val="auto"/>
          <w:sz w:val="24"/>
          <w:szCs w:val="24"/>
          <w:highlight w:val="none"/>
          <w:lang w:val="en-US" w:eastAsia="zh-CN"/>
        </w:rPr>
        <w:t>质保及售后服务</w:t>
      </w:r>
      <w:r>
        <w:rPr>
          <w:rFonts w:hint="eastAsia"/>
          <w:b/>
          <w:bCs/>
          <w:color w:val="auto"/>
          <w:sz w:val="24"/>
          <w:szCs w:val="24"/>
          <w:highlight w:val="none"/>
          <w:lang w:val="en-US" w:eastAsia="zh-CN"/>
        </w:rPr>
        <w:t>：</w:t>
      </w:r>
      <w:r>
        <w:rPr>
          <w:rFonts w:hint="eastAsia"/>
          <w:b w:val="0"/>
          <w:bCs w:val="0"/>
          <w:color w:val="auto"/>
          <w:sz w:val="24"/>
          <w:szCs w:val="24"/>
          <w:highlight w:val="none"/>
          <w:lang w:val="en-US" w:eastAsia="zh-CN"/>
        </w:rPr>
        <w:t>质保期≥1年，产品须为1年以内生产的全新产品</w:t>
      </w:r>
      <w:r>
        <w:rPr>
          <w:rFonts w:hint="eastAsia" w:ascii="宋体" w:hAnsi="Times New Roman" w:eastAsia="宋体" w:cs="Times New Roman"/>
          <w:color w:val="auto"/>
          <w:kern w:val="2"/>
          <w:sz w:val="24"/>
          <w:szCs w:val="24"/>
          <w:highlight w:val="none"/>
          <w:lang w:val="en-US" w:eastAsia="zh-CN" w:bidi="ar"/>
        </w:rPr>
        <w:t>。</w:t>
      </w:r>
    </w:p>
    <w:p w14:paraId="0105831C">
      <w:pPr>
        <w:numPr>
          <w:ilvl w:val="0"/>
          <w:numId w:val="0"/>
        </w:numPr>
        <w:rPr>
          <w:rFonts w:hint="eastAsia" w:ascii="宋体" w:hAnsi="宋体" w:cs="宋体" w:eastAsiaTheme="minorEastAsia"/>
          <w:sz w:val="24"/>
          <w:szCs w:val="24"/>
          <w:highlight w:val="none"/>
          <w:lang w:eastAsia="zh-CN"/>
        </w:rPr>
      </w:pPr>
      <w:r>
        <w:rPr>
          <w:rFonts w:hint="eastAsia"/>
          <w:b/>
          <w:bCs/>
          <w:sz w:val="24"/>
          <w:szCs w:val="24"/>
          <w:highlight w:val="none"/>
          <w:lang w:val="en-US" w:eastAsia="zh-CN"/>
        </w:rPr>
        <w:t>4、报价</w:t>
      </w:r>
      <w:r>
        <w:rPr>
          <w:rFonts w:hint="eastAsia"/>
          <w:b w:val="0"/>
          <w:bCs w:val="0"/>
          <w:sz w:val="24"/>
          <w:szCs w:val="24"/>
          <w:highlight w:val="none"/>
          <w:lang w:val="en-US" w:eastAsia="zh-CN"/>
        </w:rPr>
        <w:t>包括</w:t>
      </w:r>
      <w:r>
        <w:rPr>
          <w:rFonts w:hint="eastAsia"/>
          <w:sz w:val="24"/>
          <w:szCs w:val="24"/>
          <w:highlight w:val="none"/>
          <w:lang w:val="en-US" w:eastAsia="zh-CN"/>
        </w:rPr>
        <w:t>货物的生产、包装、运输、装卸、安装、调试、培训、验收、税金及质保服务等全部费用。</w:t>
      </w:r>
    </w:p>
    <w:p w14:paraId="4E56B640">
      <w:pPr>
        <w:pStyle w:val="6"/>
        <w:rPr>
          <w:rFonts w:hint="eastAsia" w:asciiTheme="minorHAnsi" w:hAnsiTheme="minorHAnsi" w:eastAsiaTheme="minorEastAsia" w:cstheme="minorBidi"/>
          <w:b/>
          <w:bCs/>
          <w:kern w:val="2"/>
          <w:sz w:val="24"/>
          <w:szCs w:val="24"/>
          <w:highlight w:val="none"/>
          <w:lang w:val="en-US" w:eastAsia="zh-CN" w:bidi="ar-SA"/>
        </w:rPr>
      </w:pPr>
      <w:r>
        <w:rPr>
          <w:rFonts w:hint="eastAsia" w:asciiTheme="minorHAnsi" w:hAnsiTheme="minorHAnsi" w:eastAsiaTheme="minorEastAsia" w:cstheme="minorBidi"/>
          <w:b/>
          <w:bCs/>
          <w:kern w:val="2"/>
          <w:sz w:val="24"/>
          <w:szCs w:val="24"/>
          <w:highlight w:val="none"/>
          <w:lang w:val="en-US" w:eastAsia="zh-CN" w:bidi="ar-SA"/>
        </w:rPr>
        <w:t>5、产品功能及参数</w:t>
      </w:r>
    </w:p>
    <w:tbl>
      <w:tblPr>
        <w:tblStyle w:val="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9"/>
        <w:gridCol w:w="7077"/>
      </w:tblGrid>
      <w:tr w14:paraId="026EA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9" w:type="pct"/>
            <w:vAlign w:val="center"/>
          </w:tcPr>
          <w:p w14:paraId="4155005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产品名称</w:t>
            </w:r>
          </w:p>
        </w:tc>
        <w:tc>
          <w:tcPr>
            <w:tcW w:w="3810" w:type="pct"/>
          </w:tcPr>
          <w:p w14:paraId="0460EC2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产品功能及参数</w:t>
            </w:r>
          </w:p>
        </w:tc>
      </w:tr>
      <w:tr w14:paraId="0E8F4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1" w:hRule="atLeast"/>
        </w:trPr>
        <w:tc>
          <w:tcPr>
            <w:tcW w:w="1189" w:type="pct"/>
            <w:vAlign w:val="center"/>
          </w:tcPr>
          <w:p w14:paraId="508D49D8">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center"/>
              <w:textAlignment w:val="auto"/>
              <w:rPr>
                <w:rFonts w:hint="eastAsia"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lang w:val="en-US" w:eastAsia="zh-CN"/>
              </w:rPr>
              <w:t>超乳手柄</w:t>
            </w:r>
          </w:p>
        </w:tc>
        <w:tc>
          <w:tcPr>
            <w:tcW w:w="3810" w:type="pct"/>
            <w:vAlign w:val="center"/>
          </w:tcPr>
          <w:p w14:paraId="3E4155C6">
            <w:pPr>
              <w:keepNext w:val="0"/>
              <w:keepLines w:val="0"/>
              <w:pageBreakBefore w:val="0"/>
              <w:widowControl w:val="0"/>
              <w:numPr>
                <w:ilvl w:val="0"/>
                <w:numId w:val="1"/>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超乳手柄适用于治疗眼科白内障，可进行超声乳化手术，用于Alcon Centurion 超乳机上。</w:t>
            </w:r>
          </w:p>
          <w:p w14:paraId="3C2C1E8D">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组成：手柄主体、连接线、连接头，具有传统超声，摆动超声，扭动超声不同的能量释放模式。</w:t>
            </w:r>
          </w:p>
          <w:p w14:paraId="6BFF457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highlight w:val="none"/>
                <w:vertAlign w:val="baseline"/>
                <w:lang w:val="en-US" w:eastAsia="zh-CN"/>
              </w:rPr>
              <w:t>3、可+132℃高温高压重复消毒。</w:t>
            </w:r>
          </w:p>
          <w:p w14:paraId="58F5BC8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sz w:val="24"/>
                <w:szCs w:val="24"/>
                <w:highlight w:val="none"/>
                <w:vertAlign w:val="baseline"/>
                <w:lang w:val="en-US" w:eastAsia="zh-CN"/>
              </w:rPr>
            </w:pPr>
          </w:p>
        </w:tc>
      </w:tr>
    </w:tbl>
    <w:p w14:paraId="23074D67">
      <w:pPr>
        <w:keepNext w:val="0"/>
        <w:keepLines w:val="0"/>
        <w:pageBreakBefore w:val="0"/>
        <w:widowControl w:val="0"/>
        <w:kinsoku/>
        <w:wordWrap/>
        <w:overflowPunct/>
        <w:topLinePunct w:val="0"/>
        <w:autoSpaceDE/>
        <w:autoSpaceDN/>
        <w:bidi w:val="0"/>
        <w:adjustRightInd/>
        <w:snapToGrid/>
        <w:textAlignment w:val="auto"/>
        <w:rPr>
          <w:rFonts w:hint="eastAsia"/>
          <w:sz w:val="32"/>
          <w:szCs w:val="32"/>
          <w:highlight w:val="none"/>
          <w:lang w:val="en-US" w:eastAsia="zh-CN"/>
        </w:rPr>
      </w:pPr>
      <w:r>
        <w:rPr>
          <w:rFonts w:hint="eastAsia"/>
          <w:sz w:val="32"/>
          <w:szCs w:val="32"/>
          <w:highlight w:val="none"/>
          <w:lang w:val="en-US" w:eastAsia="zh-CN"/>
        </w:rPr>
        <w:br w:type="page"/>
      </w:r>
    </w:p>
    <w:p w14:paraId="131D19E6">
      <w:pPr>
        <w:pStyle w:val="6"/>
        <w:rPr>
          <w:rFonts w:hint="eastAsia" w:hAnsi="宋体" w:cs="宋体"/>
          <w:b/>
          <w:bCs/>
          <w:sz w:val="24"/>
          <w:szCs w:val="24"/>
          <w:highlight w:val="none"/>
          <w:lang w:val="en-US" w:eastAsia="zh-CN"/>
        </w:rPr>
      </w:pPr>
      <w:r>
        <w:rPr>
          <w:rFonts w:hint="eastAsia" w:hAnsi="宋体" w:cs="宋体"/>
          <w:b/>
          <w:bCs/>
          <w:sz w:val="24"/>
          <w:szCs w:val="24"/>
          <w:highlight w:val="none"/>
          <w:lang w:val="en-US" w:eastAsia="zh-CN"/>
        </w:rPr>
        <w:t>三、评分细则（10分）</w:t>
      </w:r>
    </w:p>
    <w:tbl>
      <w:tblPr>
        <w:tblStyle w:val="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0"/>
        <w:gridCol w:w="3661"/>
        <w:gridCol w:w="4853"/>
      </w:tblGrid>
      <w:tr w14:paraId="3CD77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F67A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序</w:t>
            </w:r>
          </w:p>
        </w:tc>
        <w:tc>
          <w:tcPr>
            <w:tcW w:w="1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1B49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主要内容及分值</w:t>
            </w:r>
          </w:p>
        </w:tc>
        <w:tc>
          <w:tcPr>
            <w:tcW w:w="26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AC05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评分方法</w:t>
            </w:r>
          </w:p>
        </w:tc>
      </w:tr>
      <w:tr w14:paraId="6EC43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18"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02D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一</w:t>
            </w:r>
          </w:p>
        </w:tc>
        <w:tc>
          <w:tcPr>
            <w:tcW w:w="1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03CF1">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报价  3分</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0B04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报价最低的供应商的价格为基准价，其价格分为满分。其他供应商的价格分统一按照下列公式计算:</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报价得分=(基准价/最后报价)*30%*10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注:小数点后保留2位有效数字</w:t>
            </w:r>
          </w:p>
        </w:tc>
      </w:tr>
      <w:tr w14:paraId="109D4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6"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20CF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二</w:t>
            </w:r>
          </w:p>
        </w:tc>
        <w:tc>
          <w:tcPr>
            <w:tcW w:w="19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309E0">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产品综合实力  4分</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23AC1">
            <w:pPr>
              <w:keepNext w:val="0"/>
              <w:keepLines w:val="0"/>
              <w:widowControl/>
              <w:numPr>
                <w:ilvl w:val="0"/>
                <w:numId w:val="0"/>
              </w:numPr>
              <w:suppressLineNumbers w:val="0"/>
              <w:jc w:val="left"/>
              <w:textAlignment w:val="center"/>
              <w:rPr>
                <w:rFonts w:hint="default"/>
                <w:highlight w:val="none"/>
                <w:lang w:val="en-US"/>
              </w:rPr>
            </w:pPr>
            <w:r>
              <w:rPr>
                <w:rFonts w:hint="eastAsia" w:ascii="宋体" w:hAnsi="宋体" w:eastAsia="宋体" w:cs="宋体"/>
                <w:i w:val="0"/>
                <w:iCs w:val="0"/>
                <w:color w:val="000000"/>
                <w:kern w:val="0"/>
                <w:sz w:val="24"/>
                <w:szCs w:val="24"/>
                <w:highlight w:val="none"/>
                <w:u w:val="none"/>
                <w:lang w:val="en-US" w:eastAsia="zh-CN" w:bidi="ar"/>
              </w:rPr>
              <w:t>根据供应商提供超乳手柄的使用说明进行综合评分（包括产品的具体参数、使用功能、使用寿命、效能等）</w:t>
            </w:r>
          </w:p>
        </w:tc>
      </w:tr>
      <w:tr w14:paraId="52892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6"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81406">
            <w:pPr>
              <w:jc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sz w:val="24"/>
                <w:szCs w:val="24"/>
                <w:highlight w:val="none"/>
                <w:u w:val="none"/>
                <w:lang w:eastAsia="zh-CN"/>
              </w:rPr>
              <w:t>三</w:t>
            </w:r>
          </w:p>
        </w:tc>
        <w:tc>
          <w:tcPr>
            <w:tcW w:w="19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486B9">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服务措施  3分</w:t>
            </w:r>
          </w:p>
        </w:tc>
        <w:tc>
          <w:tcPr>
            <w:tcW w:w="2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308EF">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根据供应商提供的质保期内的质保范围及质保期外售后服务措施进行综合评分</w:t>
            </w:r>
            <w:bookmarkStart w:id="0" w:name="_GoBack"/>
            <w:bookmarkEnd w:id="0"/>
            <w:r>
              <w:rPr>
                <w:rFonts w:hint="eastAsia" w:ascii="宋体" w:hAnsi="宋体" w:eastAsia="宋体" w:cs="宋体"/>
                <w:i w:val="0"/>
                <w:iCs w:val="0"/>
                <w:color w:val="000000"/>
                <w:kern w:val="0"/>
                <w:sz w:val="24"/>
                <w:szCs w:val="24"/>
                <w:highlight w:val="none"/>
                <w:u w:val="none"/>
                <w:lang w:val="en-US" w:eastAsia="zh-CN" w:bidi="ar"/>
              </w:rPr>
              <w:t>（0-3分）</w:t>
            </w:r>
          </w:p>
        </w:tc>
      </w:tr>
    </w:tbl>
    <w:p w14:paraId="34546D4F">
      <w:pPr>
        <w:jc w:val="both"/>
        <w:rPr>
          <w:rFonts w:hint="eastAsia"/>
          <w:b/>
          <w:bCs/>
          <w:sz w:val="32"/>
          <w:szCs w:val="32"/>
          <w:highlight w:val="none"/>
          <w:lang w:val="en-US" w:eastAsia="zh-CN"/>
        </w:rPr>
      </w:pPr>
      <w:r>
        <w:rPr>
          <w:rFonts w:hint="eastAsia"/>
          <w:b/>
          <w:bCs/>
          <w:highlight w:val="none"/>
          <w:lang w:val="en-US" w:eastAsia="zh-CN"/>
        </w:rPr>
        <w:t>备注：请按照评分细则中提供相关资料。</w:t>
      </w:r>
      <w:r>
        <w:rPr>
          <w:rFonts w:hint="eastAsia"/>
          <w:b/>
          <w:bCs/>
          <w:sz w:val="32"/>
          <w:szCs w:val="32"/>
          <w:highlight w:val="none"/>
          <w:lang w:val="en-US" w:eastAsia="zh-CN"/>
        </w:rPr>
        <w:br w:type="page"/>
      </w:r>
    </w:p>
    <w:p w14:paraId="59E49094">
      <w:pPr>
        <w:jc w:val="center"/>
        <w:rPr>
          <w:rFonts w:hint="eastAsia" w:eastAsia="宋体"/>
          <w:b/>
          <w:bCs/>
          <w:sz w:val="32"/>
          <w:szCs w:val="32"/>
          <w:highlight w:val="none"/>
          <w:lang w:val="en-US" w:eastAsia="zh-CN"/>
        </w:rPr>
      </w:pPr>
      <w:r>
        <w:rPr>
          <w:rFonts w:hint="eastAsia"/>
          <w:b/>
          <w:bCs/>
          <w:sz w:val="32"/>
          <w:szCs w:val="32"/>
          <w:highlight w:val="none"/>
          <w:lang w:val="en-US" w:eastAsia="zh-CN"/>
        </w:rPr>
        <w:t>报价表</w:t>
      </w:r>
    </w:p>
    <w:tbl>
      <w:tblPr>
        <w:tblStyle w:val="7"/>
        <w:tblW w:w="8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3216"/>
        <w:gridCol w:w="4841"/>
      </w:tblGrid>
      <w:tr w14:paraId="0A0FC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6" w:hRule="atLeast"/>
          <w:jc w:val="center"/>
        </w:trPr>
        <w:tc>
          <w:tcPr>
            <w:tcW w:w="8839" w:type="dxa"/>
            <w:gridSpan w:val="3"/>
            <w:vAlign w:val="center"/>
          </w:tcPr>
          <w:p w14:paraId="154008C1">
            <w:pPr>
              <w:spacing w:line="500" w:lineRule="exact"/>
              <w:jc w:val="center"/>
              <w:rPr>
                <w:rFonts w:ascii="宋体"/>
                <w:b/>
                <w:sz w:val="24"/>
                <w:highlight w:val="none"/>
              </w:rPr>
            </w:pPr>
            <w:r>
              <w:rPr>
                <w:rFonts w:hint="eastAsia" w:ascii="宋体" w:hAnsi="宋体"/>
                <w:b/>
                <w:sz w:val="24"/>
                <w:highlight w:val="none"/>
              </w:rPr>
              <w:t>报</w:t>
            </w:r>
            <w:r>
              <w:rPr>
                <w:rFonts w:ascii="宋体" w:hAnsi="宋体"/>
                <w:b/>
                <w:sz w:val="24"/>
                <w:highlight w:val="none"/>
              </w:rPr>
              <w:t xml:space="preserve"> </w:t>
            </w:r>
            <w:r>
              <w:rPr>
                <w:rFonts w:hint="eastAsia" w:ascii="宋体" w:hAnsi="宋体"/>
                <w:b/>
                <w:sz w:val="24"/>
                <w:highlight w:val="none"/>
              </w:rPr>
              <w:t>价</w:t>
            </w:r>
            <w:r>
              <w:rPr>
                <w:rFonts w:ascii="宋体" w:hAnsi="宋体"/>
                <w:b/>
                <w:sz w:val="24"/>
                <w:highlight w:val="none"/>
              </w:rPr>
              <w:t xml:space="preserve"> </w:t>
            </w:r>
            <w:r>
              <w:rPr>
                <w:rFonts w:hint="eastAsia" w:ascii="宋体" w:hAnsi="宋体"/>
                <w:b/>
                <w:sz w:val="24"/>
                <w:highlight w:val="none"/>
              </w:rPr>
              <w:t>项</w:t>
            </w:r>
            <w:r>
              <w:rPr>
                <w:rFonts w:ascii="宋体" w:hAnsi="宋体"/>
                <w:b/>
                <w:sz w:val="24"/>
                <w:highlight w:val="none"/>
              </w:rPr>
              <w:t xml:space="preserve"> </w:t>
            </w:r>
            <w:r>
              <w:rPr>
                <w:rFonts w:hint="eastAsia" w:ascii="宋体" w:hAnsi="宋体"/>
                <w:b/>
                <w:sz w:val="24"/>
                <w:highlight w:val="none"/>
              </w:rPr>
              <w:t>目</w:t>
            </w:r>
            <w:r>
              <w:rPr>
                <w:rFonts w:ascii="宋体" w:hAnsi="宋体"/>
                <w:b/>
                <w:sz w:val="24"/>
                <w:highlight w:val="none"/>
              </w:rPr>
              <w:t xml:space="preserve"> </w:t>
            </w:r>
            <w:r>
              <w:rPr>
                <w:rFonts w:hint="eastAsia" w:ascii="宋体" w:hAnsi="宋体"/>
                <w:b/>
                <w:sz w:val="24"/>
                <w:highlight w:val="none"/>
              </w:rPr>
              <w:t>明</w:t>
            </w:r>
            <w:r>
              <w:rPr>
                <w:rFonts w:ascii="宋体" w:hAnsi="宋体"/>
                <w:b/>
                <w:sz w:val="24"/>
                <w:highlight w:val="none"/>
              </w:rPr>
              <w:t xml:space="preserve"> </w:t>
            </w:r>
            <w:r>
              <w:rPr>
                <w:rFonts w:hint="eastAsia" w:ascii="宋体" w:hAnsi="宋体"/>
                <w:b/>
                <w:sz w:val="24"/>
                <w:highlight w:val="none"/>
              </w:rPr>
              <w:t>细</w:t>
            </w:r>
          </w:p>
        </w:tc>
      </w:tr>
      <w:tr w14:paraId="1DB6A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8" w:hRule="atLeast"/>
          <w:jc w:val="center"/>
        </w:trPr>
        <w:tc>
          <w:tcPr>
            <w:tcW w:w="782" w:type="dxa"/>
            <w:vAlign w:val="center"/>
          </w:tcPr>
          <w:p w14:paraId="06C855B5">
            <w:pPr>
              <w:spacing w:line="500" w:lineRule="exact"/>
              <w:jc w:val="center"/>
              <w:rPr>
                <w:rFonts w:ascii="宋体"/>
                <w:b/>
                <w:sz w:val="24"/>
                <w:highlight w:val="none"/>
              </w:rPr>
            </w:pPr>
            <w:r>
              <w:rPr>
                <w:rFonts w:hint="eastAsia" w:ascii="宋体" w:hAnsi="宋体"/>
                <w:b/>
                <w:sz w:val="24"/>
                <w:highlight w:val="none"/>
              </w:rPr>
              <w:t>序号</w:t>
            </w:r>
          </w:p>
        </w:tc>
        <w:tc>
          <w:tcPr>
            <w:tcW w:w="3216" w:type="dxa"/>
            <w:vAlign w:val="center"/>
          </w:tcPr>
          <w:p w14:paraId="347D8A2D">
            <w:pPr>
              <w:spacing w:line="500" w:lineRule="exact"/>
              <w:ind w:left="120" w:hanging="120" w:hangingChars="50"/>
              <w:jc w:val="center"/>
              <w:textAlignment w:val="baseline"/>
              <w:rPr>
                <w:rFonts w:ascii="宋体"/>
                <w:sz w:val="24"/>
                <w:highlight w:val="none"/>
              </w:rPr>
            </w:pPr>
            <w:r>
              <w:rPr>
                <w:rFonts w:hint="eastAsia" w:ascii="宋体"/>
                <w:sz w:val="24"/>
                <w:highlight w:val="none"/>
              </w:rPr>
              <w:t>内容</w:t>
            </w:r>
          </w:p>
        </w:tc>
        <w:tc>
          <w:tcPr>
            <w:tcW w:w="4841" w:type="dxa"/>
            <w:vAlign w:val="center"/>
          </w:tcPr>
          <w:p w14:paraId="717E8A34">
            <w:pPr>
              <w:spacing w:line="500" w:lineRule="exact"/>
              <w:jc w:val="center"/>
              <w:rPr>
                <w:rFonts w:hint="eastAsia" w:ascii="宋体" w:eastAsiaTheme="minorEastAsia"/>
                <w:sz w:val="24"/>
                <w:highlight w:val="none"/>
                <w:lang w:eastAsia="zh-CN"/>
              </w:rPr>
            </w:pPr>
            <w:r>
              <w:rPr>
                <w:rFonts w:hint="eastAsia" w:ascii="宋体"/>
                <w:sz w:val="24"/>
                <w:highlight w:val="none"/>
                <w:lang w:eastAsia="zh-CN"/>
              </w:rPr>
              <w:t>聊城市眼科医院超乳手柄采购项目</w:t>
            </w:r>
          </w:p>
        </w:tc>
      </w:tr>
      <w:tr w14:paraId="412E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4" w:hRule="atLeast"/>
          <w:jc w:val="center"/>
        </w:trPr>
        <w:tc>
          <w:tcPr>
            <w:tcW w:w="782" w:type="dxa"/>
            <w:vMerge w:val="restart"/>
            <w:vAlign w:val="center"/>
          </w:tcPr>
          <w:p w14:paraId="5D4509DB">
            <w:pPr>
              <w:spacing w:line="500" w:lineRule="exact"/>
              <w:jc w:val="center"/>
              <w:rPr>
                <w:rFonts w:ascii="宋体"/>
                <w:b/>
                <w:sz w:val="24"/>
                <w:highlight w:val="none"/>
              </w:rPr>
            </w:pPr>
            <w:r>
              <w:rPr>
                <w:rFonts w:hint="eastAsia" w:ascii="宋体"/>
                <w:b/>
                <w:sz w:val="24"/>
                <w:highlight w:val="none"/>
              </w:rPr>
              <w:t>1</w:t>
            </w:r>
          </w:p>
        </w:tc>
        <w:tc>
          <w:tcPr>
            <w:tcW w:w="3216" w:type="dxa"/>
            <w:vMerge w:val="restart"/>
            <w:vAlign w:val="center"/>
          </w:tcPr>
          <w:p w14:paraId="0C2CAA1D">
            <w:pPr>
              <w:spacing w:line="500" w:lineRule="exact"/>
              <w:ind w:left="120" w:hanging="120" w:hangingChars="50"/>
              <w:jc w:val="center"/>
              <w:textAlignment w:val="baseline"/>
              <w:rPr>
                <w:rFonts w:hint="eastAsia" w:ascii="宋体" w:eastAsiaTheme="minorEastAsia"/>
                <w:sz w:val="24"/>
                <w:highlight w:val="none"/>
                <w:lang w:eastAsia="zh-CN"/>
              </w:rPr>
            </w:pPr>
            <w:r>
              <w:rPr>
                <w:rFonts w:hint="eastAsia" w:ascii="宋体" w:hAnsi="宋体"/>
                <w:b w:val="0"/>
                <w:bCs w:val="0"/>
                <w:sz w:val="24"/>
                <w:highlight w:val="none"/>
                <w:lang w:eastAsia="zh-CN"/>
              </w:rPr>
              <w:t>报价</w:t>
            </w:r>
          </w:p>
        </w:tc>
        <w:tc>
          <w:tcPr>
            <w:tcW w:w="4841" w:type="dxa"/>
            <w:vAlign w:val="center"/>
          </w:tcPr>
          <w:p w14:paraId="2F81E6EF">
            <w:pPr>
              <w:spacing w:line="500" w:lineRule="exact"/>
              <w:ind w:firstLine="240" w:firstLineChars="100"/>
              <w:rPr>
                <w:rFonts w:hint="default" w:ascii="宋体" w:eastAsiaTheme="minorEastAsia"/>
                <w:sz w:val="24"/>
                <w:highlight w:val="none"/>
                <w:u w:val="single"/>
                <w:lang w:val="en-US" w:eastAsia="zh-CN"/>
              </w:rPr>
            </w:pPr>
            <w:r>
              <w:rPr>
                <w:rFonts w:hint="eastAsia" w:ascii="宋体" w:hAnsi="宋体"/>
                <w:sz w:val="24"/>
                <w:highlight w:val="none"/>
                <w:lang w:eastAsia="zh-CN"/>
              </w:rPr>
              <w:t>大写</w:t>
            </w:r>
            <w:r>
              <w:rPr>
                <w:rFonts w:hint="eastAsia" w:ascii="宋体" w:hAnsi="宋体"/>
                <w:sz w:val="24"/>
                <w:highlight w:val="none"/>
              </w:rPr>
              <w:t>：</w:t>
            </w:r>
            <w:r>
              <w:rPr>
                <w:rFonts w:hint="eastAsia" w:ascii="宋体" w:hAnsi="宋体"/>
                <w:sz w:val="24"/>
                <w:highlight w:val="none"/>
                <w:u w:val="single"/>
                <w:lang w:val="en-US" w:eastAsia="zh-CN"/>
              </w:rPr>
              <w:t xml:space="preserve">              </w:t>
            </w:r>
          </w:p>
          <w:p w14:paraId="2B6B5B6A">
            <w:pPr>
              <w:spacing w:line="500" w:lineRule="exact"/>
              <w:ind w:firstLine="240" w:firstLineChars="100"/>
              <w:rPr>
                <w:rFonts w:hint="eastAsia" w:ascii="宋体" w:eastAsiaTheme="minorEastAsia"/>
                <w:sz w:val="24"/>
                <w:highlight w:val="none"/>
                <w:lang w:eastAsia="zh-CN"/>
              </w:rPr>
            </w:pPr>
            <w:r>
              <w:rPr>
                <w:rFonts w:hint="eastAsia" w:ascii="宋体" w:hAnsi="宋体"/>
                <w:sz w:val="24"/>
                <w:highlight w:val="none"/>
                <w:lang w:eastAsia="zh-CN"/>
              </w:rPr>
              <w:t>小写</w:t>
            </w:r>
            <w:r>
              <w:rPr>
                <w:rFonts w:hint="eastAsia" w:ascii="宋体" w:hAnsi="宋体"/>
                <w:sz w:val="24"/>
                <w:highlight w:val="none"/>
              </w:rPr>
              <w:t>：</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none"/>
                <w:lang w:eastAsia="zh-CN"/>
              </w:rPr>
              <w:t>万元</w:t>
            </w:r>
          </w:p>
        </w:tc>
      </w:tr>
      <w:tr w14:paraId="19210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4" w:hRule="atLeast"/>
          <w:jc w:val="center"/>
        </w:trPr>
        <w:tc>
          <w:tcPr>
            <w:tcW w:w="782" w:type="dxa"/>
            <w:vMerge w:val="continue"/>
            <w:vAlign w:val="center"/>
          </w:tcPr>
          <w:p w14:paraId="12FF66ED">
            <w:pPr>
              <w:spacing w:line="500" w:lineRule="exact"/>
              <w:jc w:val="center"/>
              <w:rPr>
                <w:rFonts w:ascii="宋体" w:hAnsi="宋体"/>
                <w:b/>
                <w:sz w:val="24"/>
                <w:highlight w:val="none"/>
              </w:rPr>
            </w:pPr>
          </w:p>
        </w:tc>
        <w:tc>
          <w:tcPr>
            <w:tcW w:w="3216" w:type="dxa"/>
            <w:vMerge w:val="continue"/>
            <w:vAlign w:val="center"/>
          </w:tcPr>
          <w:p w14:paraId="5D179180">
            <w:pPr>
              <w:spacing w:line="500" w:lineRule="exact"/>
              <w:jc w:val="center"/>
              <w:rPr>
                <w:rFonts w:hint="eastAsia" w:ascii="宋体" w:hAnsi="宋体"/>
                <w:sz w:val="24"/>
                <w:highlight w:val="none"/>
                <w:lang w:eastAsia="zh-CN"/>
              </w:rPr>
            </w:pPr>
          </w:p>
        </w:tc>
        <w:tc>
          <w:tcPr>
            <w:tcW w:w="4841" w:type="dxa"/>
            <w:vAlign w:val="center"/>
          </w:tcPr>
          <w:p w14:paraId="415B9002">
            <w:pPr>
              <w:spacing w:line="500" w:lineRule="exact"/>
              <w:rPr>
                <w:rFonts w:hint="eastAsia" w:ascii="宋体" w:eastAsiaTheme="minorEastAsia"/>
                <w:sz w:val="24"/>
                <w:highlight w:val="none"/>
                <w:lang w:val="en-US" w:eastAsia="zh-CN"/>
              </w:rPr>
            </w:pPr>
            <w:r>
              <w:rPr>
                <w:rFonts w:hint="eastAsia" w:ascii="宋体"/>
                <w:sz w:val="24"/>
                <w:highlight w:val="none"/>
                <w:lang w:val="en-US" w:eastAsia="zh-CN"/>
              </w:rPr>
              <w:t>产品品牌、型号：</w:t>
            </w:r>
          </w:p>
        </w:tc>
      </w:tr>
      <w:tr w14:paraId="512D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82" w:type="dxa"/>
            <w:vAlign w:val="center"/>
          </w:tcPr>
          <w:p w14:paraId="5B1BEC21">
            <w:pPr>
              <w:spacing w:line="500" w:lineRule="exact"/>
              <w:jc w:val="center"/>
              <w:rPr>
                <w:rFonts w:hint="eastAsia" w:ascii="宋体" w:hAnsi="宋体" w:eastAsiaTheme="minorEastAsia"/>
                <w:b/>
                <w:sz w:val="24"/>
                <w:highlight w:val="none"/>
                <w:lang w:val="en-US" w:eastAsia="zh-CN"/>
              </w:rPr>
            </w:pPr>
            <w:r>
              <w:rPr>
                <w:rFonts w:ascii="宋体" w:hAnsi="宋体"/>
                <w:b/>
                <w:sz w:val="24"/>
                <w:highlight w:val="none"/>
              </w:rPr>
              <w:t>2</w:t>
            </w:r>
          </w:p>
        </w:tc>
        <w:tc>
          <w:tcPr>
            <w:tcW w:w="3216" w:type="dxa"/>
            <w:vAlign w:val="center"/>
          </w:tcPr>
          <w:p w14:paraId="6EFD3CD7">
            <w:pPr>
              <w:spacing w:line="500" w:lineRule="exact"/>
              <w:jc w:val="center"/>
              <w:rPr>
                <w:rFonts w:hint="eastAsia" w:ascii="宋体" w:eastAsiaTheme="minorEastAsia"/>
                <w:sz w:val="24"/>
                <w:highlight w:val="none"/>
                <w:lang w:eastAsia="zh-CN"/>
              </w:rPr>
            </w:pPr>
            <w:r>
              <w:rPr>
                <w:rFonts w:hint="eastAsia" w:ascii="宋体" w:hAnsi="宋体"/>
                <w:sz w:val="24"/>
                <w:highlight w:val="none"/>
                <w:lang w:eastAsia="zh-CN"/>
              </w:rPr>
              <w:t>付款方式是否满足</w:t>
            </w:r>
          </w:p>
        </w:tc>
        <w:tc>
          <w:tcPr>
            <w:tcW w:w="4841" w:type="dxa"/>
            <w:vAlign w:val="center"/>
          </w:tcPr>
          <w:p w14:paraId="6AA98313">
            <w:pPr>
              <w:spacing w:line="500" w:lineRule="exact"/>
              <w:ind w:firstLine="1200" w:firstLineChars="500"/>
              <w:rPr>
                <w:rFonts w:hint="eastAsia" w:ascii="宋体" w:eastAsiaTheme="minorEastAsia"/>
                <w:sz w:val="24"/>
                <w:highlight w:val="none"/>
                <w:lang w:eastAsia="zh-CN"/>
              </w:rPr>
            </w:pPr>
            <w:r>
              <w:rPr>
                <w:rFonts w:ascii="宋体"/>
                <w:sz w:val="24"/>
                <w:highlight w:val="none"/>
              </w:rPr>
              <w:sym w:font="Wingdings" w:char="00A8"/>
            </w:r>
            <w:r>
              <w:rPr>
                <w:rFonts w:hint="eastAsia" w:ascii="宋体"/>
                <w:sz w:val="24"/>
                <w:highlight w:val="none"/>
                <w:lang w:eastAsia="zh-CN"/>
              </w:rPr>
              <w:t>是</w:t>
            </w:r>
            <w:r>
              <w:rPr>
                <w:rFonts w:hint="eastAsia" w:ascii="宋体"/>
                <w:sz w:val="24"/>
                <w:highlight w:val="none"/>
                <w:lang w:val="en-US" w:eastAsia="zh-CN"/>
              </w:rPr>
              <w:t xml:space="preserve">         </w:t>
            </w:r>
            <w:r>
              <w:rPr>
                <w:rFonts w:hint="eastAsia" w:ascii="宋体"/>
                <w:sz w:val="24"/>
                <w:highlight w:val="none"/>
                <w:lang w:eastAsia="zh-CN"/>
              </w:rPr>
              <w:sym w:font="Wingdings" w:char="00A8"/>
            </w:r>
            <w:r>
              <w:rPr>
                <w:rFonts w:hint="eastAsia" w:ascii="宋体"/>
                <w:sz w:val="24"/>
                <w:highlight w:val="none"/>
                <w:lang w:eastAsia="zh-CN"/>
              </w:rPr>
              <w:t>否</w:t>
            </w:r>
          </w:p>
        </w:tc>
      </w:tr>
      <w:tr w14:paraId="1B69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82" w:type="dxa"/>
            <w:vAlign w:val="center"/>
          </w:tcPr>
          <w:p w14:paraId="656517A4">
            <w:pPr>
              <w:spacing w:line="500" w:lineRule="exact"/>
              <w:jc w:val="center"/>
              <w:rPr>
                <w:rFonts w:hint="default" w:ascii="宋体"/>
                <w:b/>
                <w:sz w:val="24"/>
                <w:highlight w:val="none"/>
                <w:lang w:val="en-US" w:eastAsia="zh-CN"/>
              </w:rPr>
            </w:pPr>
            <w:r>
              <w:rPr>
                <w:rFonts w:hint="eastAsia" w:ascii="宋体"/>
                <w:b/>
                <w:sz w:val="24"/>
                <w:highlight w:val="none"/>
                <w:lang w:val="en-US" w:eastAsia="zh-CN"/>
              </w:rPr>
              <w:t>3</w:t>
            </w:r>
          </w:p>
        </w:tc>
        <w:tc>
          <w:tcPr>
            <w:tcW w:w="3216" w:type="dxa"/>
            <w:vAlign w:val="center"/>
          </w:tcPr>
          <w:p w14:paraId="70F10938">
            <w:pPr>
              <w:pStyle w:val="6"/>
              <w:jc w:val="center"/>
              <w:rPr>
                <w:rFonts w:hint="eastAsia"/>
                <w:sz w:val="24"/>
                <w:highlight w:val="none"/>
                <w:lang w:eastAsia="zh-CN"/>
              </w:rPr>
            </w:pPr>
            <w:r>
              <w:rPr>
                <w:rFonts w:hint="eastAsia"/>
                <w:sz w:val="24"/>
                <w:highlight w:val="none"/>
                <w:lang w:eastAsia="zh-CN"/>
              </w:rPr>
              <w:t>交货安装期是否满足</w:t>
            </w:r>
          </w:p>
        </w:tc>
        <w:tc>
          <w:tcPr>
            <w:tcW w:w="4841" w:type="dxa"/>
            <w:vAlign w:val="center"/>
          </w:tcPr>
          <w:p w14:paraId="0AE56E99">
            <w:pPr>
              <w:spacing w:line="500" w:lineRule="exact"/>
              <w:ind w:firstLine="1200" w:firstLineChars="500"/>
              <w:rPr>
                <w:rFonts w:ascii="宋体"/>
                <w:sz w:val="24"/>
                <w:highlight w:val="none"/>
              </w:rPr>
            </w:pPr>
            <w:r>
              <w:rPr>
                <w:rFonts w:ascii="宋体"/>
                <w:sz w:val="24"/>
                <w:highlight w:val="none"/>
              </w:rPr>
              <w:sym w:font="Wingdings" w:char="00A8"/>
            </w:r>
            <w:r>
              <w:rPr>
                <w:rFonts w:hint="eastAsia" w:ascii="宋体"/>
                <w:sz w:val="24"/>
                <w:highlight w:val="none"/>
                <w:lang w:eastAsia="zh-CN"/>
              </w:rPr>
              <w:t>是</w:t>
            </w:r>
            <w:r>
              <w:rPr>
                <w:rFonts w:hint="eastAsia" w:ascii="宋体"/>
                <w:sz w:val="24"/>
                <w:highlight w:val="none"/>
                <w:lang w:val="en-US" w:eastAsia="zh-CN"/>
              </w:rPr>
              <w:t xml:space="preserve">         </w:t>
            </w:r>
            <w:r>
              <w:rPr>
                <w:rFonts w:hint="eastAsia" w:ascii="宋体"/>
                <w:sz w:val="24"/>
                <w:highlight w:val="none"/>
                <w:lang w:eastAsia="zh-CN"/>
              </w:rPr>
              <w:sym w:font="Wingdings" w:char="00A8"/>
            </w:r>
            <w:r>
              <w:rPr>
                <w:rFonts w:hint="eastAsia" w:ascii="宋体"/>
                <w:sz w:val="24"/>
                <w:highlight w:val="none"/>
                <w:lang w:eastAsia="zh-CN"/>
              </w:rPr>
              <w:t>否</w:t>
            </w:r>
          </w:p>
        </w:tc>
      </w:tr>
      <w:tr w14:paraId="0EB2D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82" w:type="dxa"/>
            <w:vAlign w:val="center"/>
          </w:tcPr>
          <w:p w14:paraId="360FF832">
            <w:pPr>
              <w:spacing w:line="500" w:lineRule="exact"/>
              <w:jc w:val="center"/>
              <w:rPr>
                <w:rFonts w:hint="default" w:ascii="宋体"/>
                <w:b/>
                <w:color w:val="auto"/>
                <w:sz w:val="24"/>
                <w:highlight w:val="none"/>
                <w:lang w:val="en-US" w:eastAsia="zh-CN"/>
              </w:rPr>
            </w:pPr>
            <w:r>
              <w:rPr>
                <w:rFonts w:hint="eastAsia" w:ascii="宋体"/>
                <w:b/>
                <w:color w:val="auto"/>
                <w:sz w:val="24"/>
                <w:highlight w:val="none"/>
                <w:lang w:val="en-US" w:eastAsia="zh-CN"/>
              </w:rPr>
              <w:t>4</w:t>
            </w:r>
          </w:p>
        </w:tc>
        <w:tc>
          <w:tcPr>
            <w:tcW w:w="3216" w:type="dxa"/>
            <w:vAlign w:val="center"/>
          </w:tcPr>
          <w:p w14:paraId="08F00A9F">
            <w:pPr>
              <w:pStyle w:val="6"/>
              <w:jc w:val="center"/>
              <w:rPr>
                <w:rFonts w:hint="eastAsia"/>
                <w:color w:val="auto"/>
                <w:sz w:val="24"/>
                <w:highlight w:val="none"/>
                <w:lang w:eastAsia="zh-CN"/>
              </w:rPr>
            </w:pPr>
            <w:r>
              <w:rPr>
                <w:rFonts w:hint="eastAsia"/>
                <w:color w:val="auto"/>
                <w:sz w:val="24"/>
                <w:highlight w:val="none"/>
                <w:lang w:eastAsia="zh-CN"/>
              </w:rPr>
              <w:t>质保期限</w:t>
            </w:r>
          </w:p>
          <w:p w14:paraId="520A6532">
            <w:pPr>
              <w:jc w:val="center"/>
              <w:rPr>
                <w:rFonts w:hint="eastAsia"/>
                <w:lang w:eastAsia="zh-CN"/>
              </w:rPr>
            </w:pPr>
            <w:r>
              <w:rPr>
                <w:rFonts w:hint="eastAsia"/>
                <w:color w:val="auto"/>
                <w:sz w:val="24"/>
                <w:highlight w:val="none"/>
                <w:lang w:eastAsia="zh-CN"/>
              </w:rPr>
              <w:t>（至少一年）</w:t>
            </w:r>
          </w:p>
        </w:tc>
        <w:tc>
          <w:tcPr>
            <w:tcW w:w="4841" w:type="dxa"/>
            <w:vAlign w:val="center"/>
          </w:tcPr>
          <w:p w14:paraId="36A66A29">
            <w:pPr>
              <w:spacing w:line="500" w:lineRule="exact"/>
              <w:jc w:val="center"/>
              <w:rPr>
                <w:rFonts w:hint="eastAsia" w:ascii="宋体"/>
                <w:color w:val="auto"/>
                <w:sz w:val="24"/>
                <w:highlight w:val="none"/>
                <w:lang w:val="en-US" w:eastAsia="zh-CN"/>
              </w:rPr>
            </w:pPr>
            <w:r>
              <w:rPr>
                <w:rFonts w:hint="eastAsia" w:ascii="宋体"/>
                <w:color w:val="auto"/>
                <w:sz w:val="24"/>
                <w:highlight w:val="none"/>
                <w:u w:val="none"/>
                <w:lang w:val="en-US" w:eastAsia="zh-CN"/>
              </w:rPr>
              <w:t>质保：</w:t>
            </w:r>
            <w:r>
              <w:rPr>
                <w:rFonts w:hint="eastAsia" w:ascii="宋体"/>
                <w:color w:val="auto"/>
                <w:sz w:val="24"/>
                <w:highlight w:val="none"/>
                <w:u w:val="single"/>
                <w:lang w:val="en-US" w:eastAsia="zh-CN"/>
              </w:rPr>
              <w:t xml:space="preserve">      </w:t>
            </w:r>
            <w:r>
              <w:rPr>
                <w:rFonts w:hint="eastAsia" w:ascii="宋体"/>
                <w:color w:val="auto"/>
                <w:sz w:val="24"/>
                <w:highlight w:val="none"/>
                <w:lang w:val="en-US" w:eastAsia="zh-CN"/>
              </w:rPr>
              <w:t>年</w:t>
            </w:r>
          </w:p>
          <w:p w14:paraId="765BB2E7">
            <w:pPr>
              <w:pStyle w:val="2"/>
              <w:ind w:left="0" w:leftChars="0" w:firstLine="0" w:firstLineChars="0"/>
              <w:jc w:val="center"/>
              <w:rPr>
                <w:rFonts w:hint="default"/>
                <w:lang w:val="en-US" w:eastAsia="zh-CN"/>
              </w:rPr>
            </w:pPr>
            <w:r>
              <w:rPr>
                <w:rFonts w:hint="eastAsia" w:ascii="宋体"/>
                <w:color w:val="auto"/>
                <w:sz w:val="24"/>
                <w:highlight w:val="none"/>
                <w:lang w:val="en-US" w:eastAsia="zh-CN"/>
              </w:rPr>
              <w:t>（供应商自行填报）</w:t>
            </w:r>
          </w:p>
        </w:tc>
      </w:tr>
      <w:tr w14:paraId="3F56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82" w:type="dxa"/>
            <w:vAlign w:val="center"/>
          </w:tcPr>
          <w:p w14:paraId="12854FEF">
            <w:pPr>
              <w:spacing w:line="500" w:lineRule="exact"/>
              <w:jc w:val="center"/>
              <w:rPr>
                <w:rFonts w:hint="default" w:ascii="宋体"/>
                <w:b/>
                <w:sz w:val="24"/>
                <w:highlight w:val="none"/>
                <w:lang w:val="en-US" w:eastAsia="zh-CN"/>
              </w:rPr>
            </w:pPr>
            <w:r>
              <w:rPr>
                <w:rFonts w:hint="eastAsia" w:ascii="宋体"/>
                <w:b/>
                <w:sz w:val="24"/>
                <w:highlight w:val="none"/>
                <w:lang w:val="en-US" w:eastAsia="zh-CN"/>
              </w:rPr>
              <w:t>5</w:t>
            </w:r>
          </w:p>
        </w:tc>
        <w:tc>
          <w:tcPr>
            <w:tcW w:w="3216" w:type="dxa"/>
            <w:vAlign w:val="center"/>
          </w:tcPr>
          <w:p w14:paraId="327B3E01">
            <w:pPr>
              <w:spacing w:line="500" w:lineRule="exact"/>
              <w:jc w:val="center"/>
              <w:rPr>
                <w:rFonts w:hint="eastAsia" w:ascii="宋体"/>
                <w:sz w:val="24"/>
                <w:highlight w:val="none"/>
                <w:lang w:eastAsia="zh-CN"/>
              </w:rPr>
            </w:pPr>
            <w:r>
              <w:rPr>
                <w:rFonts w:hint="eastAsia" w:ascii="宋体"/>
                <w:sz w:val="24"/>
                <w:highlight w:val="none"/>
                <w:lang w:eastAsia="zh-CN"/>
              </w:rPr>
              <w:t>是否匹配</w:t>
            </w:r>
          </w:p>
          <w:p w14:paraId="45899C73">
            <w:pPr>
              <w:spacing w:line="500" w:lineRule="exact"/>
              <w:jc w:val="center"/>
              <w:rPr>
                <w:rFonts w:hint="eastAsia" w:ascii="宋体"/>
                <w:sz w:val="24"/>
                <w:highlight w:val="none"/>
                <w:lang w:eastAsia="zh-CN"/>
              </w:rPr>
            </w:pPr>
            <w:r>
              <w:rPr>
                <w:rFonts w:hint="eastAsia" w:ascii="宋体" w:hAnsi="宋体" w:eastAsia="宋体" w:cs="宋体"/>
                <w:b w:val="0"/>
                <w:bCs w:val="0"/>
                <w:sz w:val="24"/>
                <w:szCs w:val="24"/>
                <w:highlight w:val="none"/>
                <w:vertAlign w:val="baseline"/>
                <w:lang w:val="en-US" w:eastAsia="zh-CN"/>
              </w:rPr>
              <w:t>Alcon Centurion 超乳机</w:t>
            </w:r>
          </w:p>
        </w:tc>
        <w:tc>
          <w:tcPr>
            <w:tcW w:w="4841" w:type="dxa"/>
            <w:vAlign w:val="center"/>
          </w:tcPr>
          <w:p w14:paraId="6FFA6C96">
            <w:pPr>
              <w:spacing w:line="500" w:lineRule="exact"/>
              <w:jc w:val="center"/>
              <w:rPr>
                <w:rFonts w:hint="eastAsia" w:ascii="宋体"/>
                <w:sz w:val="24"/>
                <w:highlight w:val="none"/>
                <w:lang w:eastAsia="zh-CN"/>
              </w:rPr>
            </w:pPr>
            <w:r>
              <w:rPr>
                <w:rFonts w:ascii="宋体"/>
                <w:sz w:val="24"/>
                <w:highlight w:val="none"/>
              </w:rPr>
              <w:sym w:font="Wingdings" w:char="00A8"/>
            </w:r>
            <w:r>
              <w:rPr>
                <w:rFonts w:hint="eastAsia" w:ascii="宋体"/>
                <w:sz w:val="24"/>
                <w:highlight w:val="none"/>
                <w:lang w:eastAsia="zh-CN"/>
              </w:rPr>
              <w:t>是</w:t>
            </w:r>
            <w:r>
              <w:rPr>
                <w:rFonts w:hint="eastAsia" w:ascii="宋体"/>
                <w:sz w:val="24"/>
                <w:highlight w:val="none"/>
                <w:lang w:val="en-US" w:eastAsia="zh-CN"/>
              </w:rPr>
              <w:t xml:space="preserve">         </w:t>
            </w:r>
            <w:r>
              <w:rPr>
                <w:rFonts w:hint="eastAsia" w:ascii="宋体"/>
                <w:sz w:val="24"/>
                <w:highlight w:val="none"/>
                <w:lang w:eastAsia="zh-CN"/>
              </w:rPr>
              <w:sym w:font="Wingdings" w:char="00A8"/>
            </w:r>
            <w:r>
              <w:rPr>
                <w:rFonts w:hint="eastAsia" w:ascii="宋体"/>
                <w:sz w:val="24"/>
                <w:highlight w:val="none"/>
                <w:lang w:eastAsia="zh-CN"/>
              </w:rPr>
              <w:t>否</w:t>
            </w:r>
          </w:p>
        </w:tc>
      </w:tr>
      <w:tr w14:paraId="77D85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82" w:type="dxa"/>
            <w:vAlign w:val="center"/>
          </w:tcPr>
          <w:p w14:paraId="37683E2C">
            <w:pPr>
              <w:spacing w:line="500" w:lineRule="exact"/>
              <w:jc w:val="center"/>
              <w:rPr>
                <w:rFonts w:hint="default" w:ascii="宋体"/>
                <w:b/>
                <w:sz w:val="24"/>
                <w:highlight w:val="none"/>
                <w:lang w:val="en-US" w:eastAsia="zh-CN"/>
              </w:rPr>
            </w:pPr>
            <w:r>
              <w:rPr>
                <w:rFonts w:hint="eastAsia" w:ascii="宋体"/>
                <w:b/>
                <w:sz w:val="24"/>
                <w:highlight w:val="none"/>
                <w:lang w:val="en-US" w:eastAsia="zh-CN"/>
              </w:rPr>
              <w:t>6</w:t>
            </w:r>
          </w:p>
        </w:tc>
        <w:tc>
          <w:tcPr>
            <w:tcW w:w="8057" w:type="dxa"/>
            <w:gridSpan w:val="2"/>
            <w:vAlign w:val="center"/>
          </w:tcPr>
          <w:p w14:paraId="3A440458">
            <w:pPr>
              <w:spacing w:line="500" w:lineRule="exact"/>
              <w:jc w:val="center"/>
              <w:rPr>
                <w:rFonts w:hint="eastAsia"/>
                <w:highlight w:val="none"/>
                <w:lang w:eastAsia="zh-CN"/>
              </w:rPr>
            </w:pPr>
            <w:r>
              <w:rPr>
                <w:rFonts w:hint="eastAsia" w:ascii="宋体"/>
                <w:sz w:val="24"/>
                <w:highlight w:val="none"/>
                <w:lang w:eastAsia="zh-CN"/>
              </w:rPr>
              <w:t>附配置清单及参数</w:t>
            </w:r>
          </w:p>
        </w:tc>
      </w:tr>
    </w:tbl>
    <w:p w14:paraId="4F5829B5">
      <w:pPr>
        <w:spacing w:line="480" w:lineRule="auto"/>
        <w:ind w:firstLine="354" w:firstLineChars="147"/>
        <w:rPr>
          <w:rFonts w:ascii="宋体" w:cs="宋体"/>
          <w:b/>
          <w:sz w:val="24"/>
          <w:highlight w:val="none"/>
          <w:u w:val="single"/>
        </w:rPr>
      </w:pPr>
      <w:r>
        <w:rPr>
          <w:rFonts w:hint="eastAsia" w:ascii="宋体" w:hAnsi="宋体" w:cs="宋体"/>
          <w:b/>
          <w:sz w:val="24"/>
          <w:highlight w:val="none"/>
        </w:rPr>
        <w:t>供应商名称（盖章）</w:t>
      </w:r>
      <w:r>
        <w:rPr>
          <w:rFonts w:ascii="宋体" w:hAnsi="宋体" w:cs="宋体"/>
          <w:b/>
          <w:sz w:val="24"/>
          <w:highlight w:val="none"/>
        </w:rPr>
        <w:t xml:space="preserve"> </w:t>
      </w:r>
      <w:r>
        <w:rPr>
          <w:rFonts w:hint="eastAsia" w:ascii="宋体" w:hAnsi="宋体" w:cs="宋体"/>
          <w:b/>
          <w:sz w:val="24"/>
          <w:highlight w:val="none"/>
        </w:rPr>
        <w:t>：</w:t>
      </w:r>
    </w:p>
    <w:p w14:paraId="386017B3">
      <w:pPr>
        <w:spacing w:line="480" w:lineRule="auto"/>
        <w:ind w:firstLine="354" w:firstLineChars="147"/>
        <w:rPr>
          <w:rFonts w:hint="eastAsia" w:ascii="宋体" w:hAnsi="宋体" w:cs="宋体"/>
          <w:b/>
          <w:sz w:val="24"/>
          <w:highlight w:val="none"/>
        </w:rPr>
      </w:pPr>
      <w:r>
        <w:rPr>
          <w:rFonts w:hint="eastAsia" w:ascii="宋体" w:hAnsi="宋体" w:cs="宋体"/>
          <w:b/>
          <w:sz w:val="24"/>
          <w:highlight w:val="none"/>
        </w:rPr>
        <w:t>法定代表人或授权代表签字：</w:t>
      </w:r>
    </w:p>
    <w:p w14:paraId="45F83A08">
      <w:pPr>
        <w:rPr>
          <w:rFonts w:hint="default"/>
          <w:sz w:val="24"/>
          <w:szCs w:val="24"/>
          <w:highlight w:val="none"/>
          <w:lang w:val="en-US" w:eastAsia="zh-CN"/>
        </w:rPr>
      </w:pP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80FE1F"/>
    <w:multiLevelType w:val="singleLevel"/>
    <w:tmpl w:val="8880FE1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2M2ZhZTEwNDlkYWNkNGI0MTU4NzYyNGM3NGYwZTQifQ=="/>
  </w:docVars>
  <w:rsids>
    <w:rsidRoot w:val="00000000"/>
    <w:rsid w:val="004D2176"/>
    <w:rsid w:val="02A227A1"/>
    <w:rsid w:val="046D5CD0"/>
    <w:rsid w:val="04BF4C64"/>
    <w:rsid w:val="04FE4B79"/>
    <w:rsid w:val="05D615C1"/>
    <w:rsid w:val="06206E7E"/>
    <w:rsid w:val="072C5EA8"/>
    <w:rsid w:val="08E90E9E"/>
    <w:rsid w:val="092D50C7"/>
    <w:rsid w:val="0A7C50CD"/>
    <w:rsid w:val="0DDC3A38"/>
    <w:rsid w:val="0EDB6D55"/>
    <w:rsid w:val="0F042729"/>
    <w:rsid w:val="0F077FA2"/>
    <w:rsid w:val="0F221A78"/>
    <w:rsid w:val="114C4550"/>
    <w:rsid w:val="13546543"/>
    <w:rsid w:val="135D2041"/>
    <w:rsid w:val="13D60BB5"/>
    <w:rsid w:val="143847E8"/>
    <w:rsid w:val="15E3376D"/>
    <w:rsid w:val="16F70EB5"/>
    <w:rsid w:val="191A5004"/>
    <w:rsid w:val="1A313A8E"/>
    <w:rsid w:val="1B7E73AC"/>
    <w:rsid w:val="1E632D9A"/>
    <w:rsid w:val="1F352F93"/>
    <w:rsid w:val="1F5F65F0"/>
    <w:rsid w:val="21E6036C"/>
    <w:rsid w:val="226A0DA0"/>
    <w:rsid w:val="25EB243C"/>
    <w:rsid w:val="28920DC2"/>
    <w:rsid w:val="28AE696E"/>
    <w:rsid w:val="28E924BD"/>
    <w:rsid w:val="2C8A649C"/>
    <w:rsid w:val="2D6825AD"/>
    <w:rsid w:val="2E4A53FC"/>
    <w:rsid w:val="31481E02"/>
    <w:rsid w:val="31DC3308"/>
    <w:rsid w:val="32BE6D34"/>
    <w:rsid w:val="332A453A"/>
    <w:rsid w:val="33C95001"/>
    <w:rsid w:val="34C719E7"/>
    <w:rsid w:val="374A05A7"/>
    <w:rsid w:val="384D42A5"/>
    <w:rsid w:val="39BC6D57"/>
    <w:rsid w:val="3A451DB4"/>
    <w:rsid w:val="3C0A781C"/>
    <w:rsid w:val="3D532DBE"/>
    <w:rsid w:val="411E653D"/>
    <w:rsid w:val="413831CE"/>
    <w:rsid w:val="42E842E2"/>
    <w:rsid w:val="49750DC6"/>
    <w:rsid w:val="4B5F07FC"/>
    <w:rsid w:val="4C1C20FA"/>
    <w:rsid w:val="4EAF450E"/>
    <w:rsid w:val="51A234FE"/>
    <w:rsid w:val="52A907F9"/>
    <w:rsid w:val="54901979"/>
    <w:rsid w:val="59803AD5"/>
    <w:rsid w:val="5AA648B7"/>
    <w:rsid w:val="5CDE7853"/>
    <w:rsid w:val="5D6773B1"/>
    <w:rsid w:val="5EB532BF"/>
    <w:rsid w:val="606856F7"/>
    <w:rsid w:val="638D3554"/>
    <w:rsid w:val="641F4E2B"/>
    <w:rsid w:val="64A51E4B"/>
    <w:rsid w:val="66652D12"/>
    <w:rsid w:val="6675282C"/>
    <w:rsid w:val="68A652DE"/>
    <w:rsid w:val="6C222C55"/>
    <w:rsid w:val="6C6D117C"/>
    <w:rsid w:val="6C7A7016"/>
    <w:rsid w:val="6CBD632F"/>
    <w:rsid w:val="6D277BDE"/>
    <w:rsid w:val="6EDC65DD"/>
    <w:rsid w:val="6F1B5AEC"/>
    <w:rsid w:val="701C5563"/>
    <w:rsid w:val="7133708A"/>
    <w:rsid w:val="715576D5"/>
    <w:rsid w:val="727E20F3"/>
    <w:rsid w:val="72A5086F"/>
    <w:rsid w:val="73AE23F9"/>
    <w:rsid w:val="74995C85"/>
    <w:rsid w:val="777E1F3E"/>
    <w:rsid w:val="78C57A52"/>
    <w:rsid w:val="793C03FF"/>
    <w:rsid w:val="7A2C2C21"/>
    <w:rsid w:val="7B5F033E"/>
    <w:rsid w:val="7C245F3E"/>
    <w:rsid w:val="7D0E78F4"/>
    <w:rsid w:val="7D6363DE"/>
    <w:rsid w:val="7E076F8E"/>
    <w:rsid w:val="7FAF1A0D"/>
    <w:rsid w:val="7FBF5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tabs>
        <w:tab w:val="left" w:pos="1260"/>
      </w:tabs>
      <w:ind w:firstLine="420" w:firstLineChars="200"/>
    </w:pPr>
  </w:style>
  <w:style w:type="paragraph" w:styleId="3">
    <w:name w:val="Body Text Indent"/>
    <w:basedOn w:val="1"/>
    <w:next w:val="1"/>
    <w:qFormat/>
    <w:uiPriority w:val="0"/>
    <w:pPr>
      <w:tabs>
        <w:tab w:val="left" w:pos="1260"/>
      </w:tabs>
      <w:spacing w:line="360" w:lineRule="auto"/>
      <w:ind w:left="420" w:firstLine="735"/>
    </w:pPr>
    <w:rPr>
      <w:kern w:val="0"/>
      <w:sz w:val="20"/>
    </w:rPr>
  </w:style>
  <w:style w:type="paragraph" w:styleId="4">
    <w:name w:val="footer"/>
    <w:basedOn w:val="1"/>
    <w:autoRedefine/>
    <w:qFormat/>
    <w:uiPriority w:val="99"/>
    <w:pPr>
      <w:tabs>
        <w:tab w:val="center" w:pos="4153"/>
        <w:tab w:val="right" w:pos="8306"/>
      </w:tabs>
      <w:snapToGrid w:val="0"/>
      <w:jc w:val="left"/>
    </w:pPr>
    <w:rPr>
      <w:sz w:val="18"/>
      <w:szCs w:val="18"/>
    </w:rPr>
  </w:style>
  <w:style w:type="paragraph" w:styleId="5">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unhideWhenUsed/>
    <w:qFormat/>
    <w:uiPriority w:val="39"/>
    <w:pPr>
      <w:keepNext w:val="0"/>
      <w:keepLines w:val="0"/>
      <w:widowControl w:val="0"/>
      <w:suppressLineNumbers w:val="0"/>
      <w:spacing w:before="0" w:beforeAutospacing="0" w:after="0" w:afterAutospacing="0"/>
      <w:ind w:left="0" w:right="0"/>
      <w:jc w:val="both"/>
    </w:pPr>
    <w:rPr>
      <w:rFonts w:hint="eastAsia" w:ascii="宋体" w:hAnsi="Times New Roman" w:eastAsia="宋体" w:cs="Times New Roman"/>
      <w:kern w:val="2"/>
      <w:sz w:val="28"/>
      <w:szCs w:val="28"/>
      <w:lang w:val="en-US" w:eastAsia="zh-CN" w:bidi="ar"/>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795</Words>
  <Characters>824</Characters>
  <Lines>0</Lines>
  <Paragraphs>0</Paragraphs>
  <TotalTime>6</TotalTime>
  <ScaleCrop>false</ScaleCrop>
  <LinksUpToDate>false</LinksUpToDate>
  <CharactersWithSpaces>883</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2022-05-16T08:55:00Z</dcterms:created>
  <dc:creator>Administrator.BF-20200609AMBW</dc:creator>
  <cp:lastModifiedBy>张朋</cp:lastModifiedBy>
  <cp:lastPrinted>2023-07-13T07:20:00Z</cp:lastPrinted>
  <dcterms:modified xsi:type="dcterms:W3CDTF">2026-09-07T01:13:45Z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297FD9190EE940ED805E5EE84FC140E8_13</vt:lpwstr>
  </property>
  <property fmtid="{D5CDD505-2E9C-101B-9397-08002B2CF9AE}" pid="4" name="KSOTemplateDocerSaveRecord">
    <vt:lpwstr>eyJoZGlkIjoiN2U2M2ZhZTEwNDlkYWNkNGI0MTU4NzYyNGM3NGYwZTQiLCJ1c2VySWQiOiIxNzU4Njk3MjI1In0=</vt:lpwstr>
  </property>
</Properties>
</file>